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rPr>
          <w:rFonts w:cs="Arial"/>
          <w:sz w:val="22"/>
          <w:szCs w:val="22"/>
          <w:lang w:eastAsia="zh-CN"/>
        </w:rPr>
      </w:pPr>
      <w:r>
        <w:rPr>
          <w:rFonts w:cs="Arial"/>
          <w:sz w:val="22"/>
          <w:szCs w:val="22"/>
        </w:rPr>
        <w:t>3GPP TSG RAN WG1</w:t>
      </w:r>
      <w:r>
        <w:rPr>
          <w:rFonts w:hint="eastAsia" w:cs="Arial"/>
          <w:sz w:val="22"/>
          <w:szCs w:val="22"/>
          <w:lang w:eastAsia="zh-CN"/>
        </w:rPr>
        <w:t xml:space="preserve"> </w:t>
      </w:r>
      <w:r>
        <w:rPr>
          <w:rFonts w:cs="Arial"/>
          <w:sz w:val="22"/>
          <w:szCs w:val="22"/>
        </w:rPr>
        <w:t>Meeting #1</w:t>
      </w:r>
      <w:r>
        <w:rPr>
          <w:rFonts w:hint="eastAsia" w:cs="Arial"/>
          <w:sz w:val="22"/>
          <w:szCs w:val="22"/>
          <w:lang w:eastAsia="zh-CN"/>
        </w:rPr>
        <w:t>10</w:t>
      </w:r>
      <w:r>
        <w:rPr>
          <w:rFonts w:cs="Arial"/>
          <w:sz w:val="22"/>
          <w:szCs w:val="22"/>
        </w:rPr>
        <w:t xml:space="preserve">        </w:t>
      </w:r>
      <w:r>
        <w:rPr>
          <w:rFonts w:hint="eastAsia" w:cs="Arial"/>
          <w:sz w:val="22"/>
          <w:szCs w:val="22"/>
        </w:rPr>
        <w:t xml:space="preserve">                              </w:t>
      </w:r>
      <w:r>
        <w:rPr>
          <w:rFonts w:cs="Arial"/>
          <w:sz w:val="22"/>
          <w:szCs w:val="22"/>
        </w:rPr>
        <w:t xml:space="preserve">                 </w:t>
      </w:r>
      <w:r>
        <w:rPr>
          <w:rFonts w:hint="eastAsia" w:cs="Arial"/>
          <w:sz w:val="22"/>
          <w:szCs w:val="22"/>
        </w:rPr>
        <w:t xml:space="preserve">             </w:t>
      </w:r>
      <w:r>
        <w:rPr>
          <w:rFonts w:hint="eastAsia" w:cs="Arial"/>
          <w:sz w:val="22"/>
          <w:szCs w:val="22"/>
          <w:lang w:eastAsia="zh-CN"/>
        </w:rPr>
        <w:t xml:space="preserve"> R1-2206071</w:t>
      </w:r>
    </w:p>
    <w:p>
      <w:pPr>
        <w:outlineLvl w:val="0"/>
        <w:rPr>
          <w:rFonts w:ascii="Arial" w:hAnsi="Arial" w:cs="Arial"/>
          <w:b/>
        </w:rPr>
      </w:pPr>
      <w:r>
        <w:rPr>
          <w:rFonts w:ascii="Arial" w:hAnsi="Arial" w:cs="Arial"/>
          <w:b/>
          <w:bCs/>
        </w:rPr>
        <w:t>Toulouse, France, August 22</w:t>
      </w:r>
      <w:r>
        <w:rPr>
          <w:rFonts w:ascii="Arial" w:hAnsi="Arial" w:cs="Arial"/>
          <w:b/>
          <w:bCs/>
          <w:vertAlign w:val="superscript"/>
        </w:rPr>
        <w:t>nd</w:t>
      </w:r>
      <w:r>
        <w:rPr>
          <w:rFonts w:ascii="Arial" w:hAnsi="Arial" w:cs="Arial"/>
          <w:b/>
          <w:bCs/>
        </w:rPr>
        <w:t xml:space="preserve"> – 26</w:t>
      </w:r>
      <w:r>
        <w:rPr>
          <w:rFonts w:ascii="Arial" w:hAnsi="Arial" w:cs="Arial"/>
          <w:b/>
          <w:bCs/>
          <w:vertAlign w:val="superscript"/>
        </w:rPr>
        <w:t>th</w:t>
      </w:r>
      <w:r>
        <w:rPr>
          <w:rFonts w:ascii="Arial" w:hAnsi="Arial" w:cs="Arial"/>
          <w:b/>
          <w:bCs/>
        </w:rPr>
        <w:t>, 2022</w:t>
      </w:r>
    </w:p>
    <w:p>
      <w:pPr>
        <w:snapToGrid w:val="0"/>
        <w:spacing w:after="0" w:line="240" w:lineRule="auto"/>
        <w:rPr>
          <w:rFonts w:ascii="Arial" w:hAnsi="Arial" w:cs="Arial"/>
          <w:b/>
        </w:rPr>
      </w:pPr>
      <w:r>
        <w:rPr>
          <w:rFonts w:ascii="Arial" w:hAnsi="Arial" w:eastAsia="MS Mincho" w:cs="Arial"/>
          <w:b/>
          <w:lang w:eastAsia="ja-JP"/>
        </w:rPr>
        <w:t>Source:              ZTE</w:t>
      </w:r>
      <w:r>
        <w:rPr>
          <w:rFonts w:ascii="Arial" w:hAnsi="Arial" w:cs="Arial"/>
          <w:b/>
        </w:rPr>
        <w:t xml:space="preserve"> Corporation</w:t>
      </w:r>
    </w:p>
    <w:p>
      <w:pPr>
        <w:pStyle w:val="18"/>
        <w:tabs>
          <w:tab w:val="clear" w:pos="4536"/>
        </w:tabs>
        <w:snapToGrid w:val="0"/>
        <w:rPr>
          <w:rFonts w:cs="Arial"/>
          <w:sz w:val="22"/>
          <w:szCs w:val="22"/>
          <w:lang w:eastAsia="zh-CN"/>
        </w:rPr>
      </w:pPr>
      <w:r>
        <w:rPr>
          <w:rFonts w:cs="Arial"/>
          <w:sz w:val="22"/>
          <w:szCs w:val="22"/>
          <w:lang w:eastAsia="zh-CN"/>
        </w:rPr>
        <w:t>Title:</w:t>
      </w:r>
      <w:r>
        <w:rPr>
          <w:rFonts w:hint="eastAsia" w:cs="Arial"/>
          <w:sz w:val="22"/>
          <w:szCs w:val="22"/>
          <w:lang w:eastAsia="zh-CN"/>
        </w:rPr>
        <w:t xml:space="preserve">                   Discussion on other aspects for AI beam management</w:t>
      </w:r>
    </w:p>
    <w:p>
      <w:pPr>
        <w:pStyle w:val="18"/>
        <w:tabs>
          <w:tab w:val="clear" w:pos="4536"/>
        </w:tabs>
        <w:snapToGrid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w:t>
      </w:r>
      <w:r>
        <w:rPr>
          <w:rFonts w:hint="eastAsia" w:eastAsia="宋体" w:cs="Arial"/>
          <w:sz w:val="22"/>
          <w:szCs w:val="22"/>
          <w:lang w:eastAsia="zh-CN"/>
        </w:rPr>
        <w:t>2</w:t>
      </w:r>
    </w:p>
    <w:p>
      <w:pPr>
        <w:pStyle w:val="18"/>
        <w:tabs>
          <w:tab w:val="clear" w:pos="4536"/>
        </w:tabs>
        <w:snapToGrid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lang w:val="en-GB"/>
        </w:rPr>
      </w:pPr>
      <w:r>
        <w:rPr>
          <w:b/>
          <w:sz w:val="28"/>
          <w:szCs w:val="28"/>
        </w:rPr>
        <w:t>Introduction</w:t>
      </w:r>
    </w:p>
    <w:p>
      <w:pPr>
        <w:snapToGrid w:val="0"/>
        <w:spacing w:before="72" w:beforeLines="30" w:after="72" w:afterLines="30" w:line="288" w:lineRule="auto"/>
        <w:jc w:val="both"/>
        <w:rPr>
          <w:rFonts w:eastAsia="微软雅黑"/>
          <w:sz w:val="20"/>
          <w:szCs w:val="20"/>
          <w:lang w:val="en-GB"/>
        </w:rPr>
      </w:pPr>
      <w:r>
        <w:rPr>
          <w:rFonts w:hint="eastAsia" w:eastAsia="Times New Roman"/>
          <w:sz w:val="20"/>
          <w:szCs w:val="20"/>
          <w:lang w:val="en-GB"/>
        </w:rPr>
        <w:t>In RAN1#109-e, a number of productive consensuses have been reached on potential specification enhancements for AI/ML-based beam management, such as sub-use case selection and AI/ML deployment</w:t>
      </w:r>
      <w:r>
        <w:rPr>
          <w:rFonts w:hint="eastAsia"/>
          <w:sz w:val="20"/>
          <w:szCs w:val="20"/>
        </w:rPr>
        <w:t xml:space="preserve"> [1]</w:t>
      </w:r>
      <w:r>
        <w:rPr>
          <w:rFonts w:hint="eastAsia" w:eastAsia="Times New Roman"/>
          <w:sz w:val="20"/>
          <w:szCs w:val="20"/>
          <w:lang w:val="en-GB"/>
        </w:rPr>
        <w:t>. In addition, it has been agreed that the assessment of specification impacts is sub-use-case specific and can be discussed after the sub-use case is finalized. However, there are still quite a few options for sub-use cases and associated AI inputs/outputs, making it difficult to concretize and converge the discussion of specification impacts. Therefore, in this contribution, we will make some recommendations on sub-use case details and analyse potential specification impacts.</w:t>
      </w: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 xml:space="preserve">AI/ML based beam management </w:t>
      </w:r>
    </w:p>
    <w:p>
      <w:pPr>
        <w:numPr>
          <w:ilvl w:val="1"/>
          <w:numId w:val="5"/>
        </w:numPr>
        <w:tabs>
          <w:tab w:val="clear" w:pos="576"/>
        </w:tabs>
        <w:snapToGrid w:val="0"/>
        <w:spacing w:before="10" w:after="120" w:afterLines="50" w:line="288" w:lineRule="auto"/>
        <w:ind w:left="567" w:hanging="567"/>
        <w:jc w:val="both"/>
        <w:outlineLvl w:val="1"/>
        <w:rPr>
          <w:b/>
          <w:sz w:val="24"/>
          <w:szCs w:val="20"/>
        </w:rPr>
      </w:pPr>
      <w:bookmarkStart w:id="3" w:name="_GoBack"/>
      <w:bookmarkEnd w:id="3"/>
      <w:r>
        <w:rPr>
          <w:rFonts w:hint="eastAsia"/>
          <w:b/>
          <w:sz w:val="24"/>
          <w:szCs w:val="20"/>
        </w:rPr>
        <w:t>Selection of sub use cases</w:t>
      </w:r>
    </w:p>
    <w:p>
      <w:pPr>
        <w:snapToGrid w:val="0"/>
        <w:spacing w:before="72" w:beforeLines="30" w:after="72" w:afterLines="30" w:line="288" w:lineRule="auto"/>
        <w:jc w:val="both"/>
        <w:rPr>
          <w:rFonts w:eastAsia="Times New Roman"/>
          <w:sz w:val="20"/>
          <w:szCs w:val="20"/>
          <w:lang w:val="en-GB"/>
        </w:rPr>
      </w:pPr>
      <w:r>
        <w:rPr>
          <w:rFonts w:eastAsia="Times New Roman"/>
          <w:sz w:val="20"/>
          <w:szCs w:val="20"/>
          <w:lang w:val="en-GB"/>
        </w:rPr>
        <w:t>T</w:t>
      </w:r>
      <w:r>
        <w:rPr>
          <w:rFonts w:hint="eastAsia" w:eastAsia="Times New Roman"/>
          <w:sz w:val="20"/>
          <w:szCs w:val="20"/>
          <w:lang w:val="en-GB"/>
        </w:rPr>
        <w:t>able</w:t>
      </w:r>
      <w:r>
        <w:rPr>
          <w:rFonts w:eastAsia="Times New Roman"/>
          <w:sz w:val="20"/>
          <w:szCs w:val="20"/>
          <w:lang w:val="en-GB"/>
        </w:rPr>
        <w:t xml:space="preserve"> I</w:t>
      </w:r>
      <w:r>
        <w:rPr>
          <w:rFonts w:hint="eastAsia" w:eastAsia="Times New Roman"/>
          <w:sz w:val="20"/>
          <w:szCs w:val="20"/>
          <w:lang w:val="en-GB"/>
        </w:rPr>
        <w:t xml:space="preserve"> categorizes the sub use cases for AI/ML-based beam management with different inputs, different outputs, different functionalities and so on. All</w:t>
      </w:r>
      <w:r>
        <w:rPr>
          <w:rFonts w:hint="eastAsia"/>
          <w:sz w:val="20"/>
          <w:szCs w:val="20"/>
        </w:rPr>
        <w:t xml:space="preserve"> </w:t>
      </w:r>
      <w:r>
        <w:rPr>
          <w:rFonts w:hint="eastAsia" w:eastAsia="Times New Roman"/>
          <w:sz w:val="20"/>
          <w:szCs w:val="20"/>
          <w:lang w:val="en-GB"/>
        </w:rPr>
        <w:t>of them have been initially discussed in RAN1#109-e.  Besides, BM-Case1 and BM-Case2 are supported by majority companies while other sub use cases are supported by a limited number of companies.</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Table I: Sub use cases and categories</w:t>
      </w:r>
    </w:p>
    <w:tbl>
      <w:tblPr>
        <w:tblStyle w:val="24"/>
        <w:tblW w:w="43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6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Align w:val="center"/>
          </w:tcPr>
          <w:p>
            <w:pPr>
              <w:pStyle w:val="15"/>
              <w:snapToGrid w:val="0"/>
              <w:spacing w:before="72" w:beforeLines="30" w:after="72" w:afterLines="30" w:line="288" w:lineRule="auto"/>
              <w:jc w:val="center"/>
              <w:rPr>
                <w:color w:val="auto"/>
                <w:sz w:val="20"/>
              </w:rPr>
            </w:pPr>
            <w:r>
              <w:rPr>
                <w:color w:val="auto"/>
                <w:sz w:val="20"/>
              </w:rPr>
              <w:t>Category</w:t>
            </w:r>
          </w:p>
        </w:tc>
        <w:tc>
          <w:tcPr>
            <w:tcW w:w="3734" w:type="pct"/>
            <w:vAlign w:val="center"/>
          </w:tcPr>
          <w:p>
            <w:pPr>
              <w:pStyle w:val="15"/>
              <w:snapToGrid w:val="0"/>
              <w:spacing w:before="72" w:beforeLines="30" w:after="72" w:afterLines="30" w:line="288" w:lineRule="auto"/>
              <w:jc w:val="center"/>
              <w:rPr>
                <w:color w:val="auto"/>
                <w:sz w:val="20"/>
              </w:rPr>
            </w:pPr>
            <w:r>
              <w:rPr>
                <w:color w:val="auto"/>
                <w:sz w:val="20"/>
              </w:rPr>
              <w:t>Sub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restart"/>
            <w:vAlign w:val="center"/>
          </w:tcPr>
          <w:p>
            <w:pPr>
              <w:pStyle w:val="15"/>
              <w:snapToGrid w:val="0"/>
              <w:spacing w:before="72" w:beforeLines="30" w:after="72" w:afterLines="30" w:line="288" w:lineRule="auto"/>
              <w:rPr>
                <w:color w:val="auto"/>
                <w:sz w:val="20"/>
              </w:rPr>
            </w:pPr>
            <w:r>
              <w:rPr>
                <w:color w:val="auto"/>
                <w:sz w:val="20"/>
              </w:rPr>
              <w:t>Cat1:</w:t>
            </w:r>
          </w:p>
          <w:p>
            <w:pPr>
              <w:pStyle w:val="15"/>
              <w:snapToGrid w:val="0"/>
              <w:spacing w:before="72" w:beforeLines="30" w:after="72" w:afterLines="30" w:line="288" w:lineRule="auto"/>
              <w:rPr>
                <w:color w:val="auto"/>
                <w:sz w:val="20"/>
              </w:rPr>
            </w:pPr>
            <w:r>
              <w:rPr>
                <w:color w:val="auto"/>
                <w:sz w:val="20"/>
              </w:rPr>
              <w:t>Spatial-domain DL beam prediction</w:t>
            </w:r>
          </w:p>
        </w:tc>
        <w:tc>
          <w:tcPr>
            <w:tcW w:w="3734" w:type="pct"/>
            <w:vAlign w:val="center"/>
          </w:tcPr>
          <w:p>
            <w:pPr>
              <w:pStyle w:val="15"/>
              <w:snapToGrid w:val="0"/>
              <w:spacing w:before="72" w:beforeLines="30" w:after="72" w:afterLines="30" w:line="288" w:lineRule="auto"/>
              <w:rPr>
                <w:color w:val="auto"/>
                <w:sz w:val="20"/>
              </w:rPr>
            </w:pPr>
            <w:r>
              <w:rPr>
                <w:b/>
                <w:bCs/>
                <w:color w:val="auto"/>
                <w:sz w:val="20"/>
              </w:rPr>
              <w:t xml:space="preserve">BM-Case1: </w:t>
            </w:r>
            <w:r>
              <w:rPr>
                <w:color w:val="auto"/>
                <w:sz w:val="20"/>
              </w:rPr>
              <w:t>Spatial-domain DL beam prediction for Set A of beams based on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15"/>
              <w:snapToGrid w:val="0"/>
              <w:spacing w:before="72" w:beforeLines="30" w:after="72" w:afterLines="30" w:line="288" w:lineRule="auto"/>
              <w:rPr>
                <w:color w:val="auto"/>
                <w:sz w:val="20"/>
              </w:rPr>
            </w:pPr>
          </w:p>
        </w:tc>
        <w:tc>
          <w:tcPr>
            <w:tcW w:w="3734" w:type="pct"/>
            <w:vAlign w:val="center"/>
          </w:tcPr>
          <w:p>
            <w:pPr>
              <w:pStyle w:val="15"/>
              <w:snapToGrid w:val="0"/>
              <w:spacing w:before="72" w:beforeLines="30" w:after="72" w:afterLines="30" w:line="288" w:lineRule="auto"/>
              <w:rPr>
                <w:color w:val="auto"/>
                <w:sz w:val="20"/>
              </w:rPr>
            </w:pPr>
            <w:r>
              <w:rPr>
                <w:color w:val="auto"/>
                <w:sz w:val="20"/>
              </w:rPr>
              <w:t>BM-Case3: Beam prediction for higher frequency band (e.g., a band in FR2) based on measurement results of lower frequency band(s) (e.g., a band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15"/>
              <w:snapToGrid w:val="0"/>
              <w:spacing w:before="72" w:beforeLines="30" w:after="72" w:afterLines="30" w:line="288" w:lineRule="auto"/>
              <w:rPr>
                <w:color w:val="auto"/>
                <w:sz w:val="20"/>
              </w:rPr>
            </w:pPr>
          </w:p>
        </w:tc>
        <w:tc>
          <w:tcPr>
            <w:tcW w:w="3734" w:type="pct"/>
            <w:vAlign w:val="center"/>
          </w:tcPr>
          <w:p>
            <w:pPr>
              <w:pStyle w:val="15"/>
              <w:snapToGrid w:val="0"/>
              <w:spacing w:before="72" w:beforeLines="30" w:after="72" w:afterLines="30" w:line="288" w:lineRule="auto"/>
              <w:rPr>
                <w:color w:val="auto"/>
                <w:sz w:val="20"/>
              </w:rPr>
            </w:pPr>
            <w:r>
              <w:rPr>
                <w:color w:val="auto"/>
                <w:sz w:val="20"/>
              </w:rPr>
              <w:t>BM-Case4: Beam prediction based on UE positioning/trajectory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15"/>
              <w:snapToGrid w:val="0"/>
              <w:spacing w:before="72" w:beforeLines="30" w:after="72" w:afterLines="30" w:line="288" w:lineRule="auto"/>
              <w:rPr>
                <w:color w:val="auto"/>
                <w:sz w:val="20"/>
              </w:rPr>
            </w:pPr>
          </w:p>
        </w:tc>
        <w:tc>
          <w:tcPr>
            <w:tcW w:w="3734" w:type="pct"/>
            <w:vAlign w:val="center"/>
          </w:tcPr>
          <w:p>
            <w:pPr>
              <w:pStyle w:val="15"/>
              <w:snapToGrid w:val="0"/>
              <w:spacing w:before="72" w:beforeLines="30" w:after="72" w:afterLines="30" w:line="288" w:lineRule="auto"/>
              <w:rPr>
                <w:color w:val="auto"/>
                <w:sz w:val="20"/>
              </w:rPr>
            </w:pPr>
            <w:r>
              <w:rPr>
                <w:color w:val="auto"/>
                <w:sz w:val="20"/>
              </w:rPr>
              <w:t>BM-Case6: Spatial-domain UL beam prediction for Set A of beams based on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15"/>
              <w:snapToGrid w:val="0"/>
              <w:spacing w:before="72" w:beforeLines="30" w:after="72" w:afterLines="30" w:line="288" w:lineRule="auto"/>
              <w:rPr>
                <w:color w:val="auto"/>
                <w:sz w:val="20"/>
              </w:rPr>
            </w:pPr>
          </w:p>
        </w:tc>
        <w:tc>
          <w:tcPr>
            <w:tcW w:w="3734" w:type="pct"/>
            <w:vAlign w:val="center"/>
          </w:tcPr>
          <w:p>
            <w:pPr>
              <w:pStyle w:val="15"/>
              <w:snapToGrid w:val="0"/>
              <w:spacing w:before="72" w:beforeLines="30" w:after="72" w:afterLines="30" w:line="288" w:lineRule="auto"/>
              <w:rPr>
                <w:color w:val="auto"/>
                <w:sz w:val="20"/>
              </w:rPr>
            </w:pPr>
            <w:r>
              <w:rPr>
                <w:color w:val="auto"/>
                <w:sz w:val="20"/>
              </w:rPr>
              <w:t>BM-Case9: Joint DL/UL beam pair link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Align w:val="center"/>
          </w:tcPr>
          <w:p>
            <w:pPr>
              <w:pStyle w:val="15"/>
              <w:snapToGrid w:val="0"/>
              <w:spacing w:before="72" w:beforeLines="30" w:after="72" w:afterLines="30" w:line="288" w:lineRule="auto"/>
              <w:rPr>
                <w:color w:val="auto"/>
                <w:sz w:val="20"/>
              </w:rPr>
            </w:pPr>
            <w:r>
              <w:rPr>
                <w:color w:val="auto"/>
                <w:sz w:val="20"/>
              </w:rPr>
              <w:t>Cat2:</w:t>
            </w:r>
          </w:p>
          <w:p>
            <w:pPr>
              <w:pStyle w:val="15"/>
              <w:snapToGrid w:val="0"/>
              <w:spacing w:before="72" w:beforeLines="30" w:after="72" w:afterLines="30" w:line="288" w:lineRule="auto"/>
              <w:rPr>
                <w:color w:val="auto"/>
                <w:sz w:val="20"/>
              </w:rPr>
            </w:pPr>
            <w:r>
              <w:rPr>
                <w:color w:val="auto"/>
                <w:sz w:val="20"/>
              </w:rPr>
              <w:t>Time-domain DL beam prediction</w:t>
            </w:r>
          </w:p>
        </w:tc>
        <w:tc>
          <w:tcPr>
            <w:tcW w:w="3734" w:type="pct"/>
            <w:vAlign w:val="center"/>
          </w:tcPr>
          <w:p>
            <w:pPr>
              <w:pStyle w:val="15"/>
              <w:snapToGrid w:val="0"/>
              <w:spacing w:before="72" w:beforeLines="30" w:after="72" w:afterLines="30" w:line="288" w:lineRule="auto"/>
              <w:rPr>
                <w:b/>
                <w:bCs/>
                <w:color w:val="auto"/>
                <w:sz w:val="20"/>
              </w:rPr>
            </w:pPr>
            <w:r>
              <w:rPr>
                <w:b/>
                <w:bCs/>
                <w:color w:val="auto"/>
                <w:sz w:val="20"/>
              </w:rPr>
              <w:t>BM-Case2:</w:t>
            </w:r>
            <w:r>
              <w:rPr>
                <w:color w:val="auto"/>
                <w:sz w:val="20"/>
              </w:rPr>
              <w:t xml:space="preserve"> Temporal DL beam prediction for Set A of beams based on the historic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restart"/>
            <w:vAlign w:val="center"/>
          </w:tcPr>
          <w:p>
            <w:pPr>
              <w:pStyle w:val="15"/>
              <w:snapToGrid w:val="0"/>
              <w:spacing w:before="72" w:beforeLines="30" w:after="72" w:afterLines="30" w:line="288" w:lineRule="auto"/>
              <w:rPr>
                <w:color w:val="auto"/>
                <w:sz w:val="20"/>
              </w:rPr>
            </w:pPr>
            <w:r>
              <w:rPr>
                <w:color w:val="auto"/>
                <w:sz w:val="20"/>
              </w:rPr>
              <w:t>Cat3: Others</w:t>
            </w:r>
          </w:p>
        </w:tc>
        <w:tc>
          <w:tcPr>
            <w:tcW w:w="3734" w:type="pct"/>
            <w:vAlign w:val="center"/>
          </w:tcPr>
          <w:p>
            <w:pPr>
              <w:pStyle w:val="15"/>
              <w:snapToGrid w:val="0"/>
              <w:spacing w:before="72" w:beforeLines="30" w:after="72" w:afterLines="30" w:line="288" w:lineRule="auto"/>
              <w:rPr>
                <w:color w:val="auto"/>
                <w:sz w:val="20"/>
              </w:rPr>
            </w:pPr>
            <w:r>
              <w:rPr>
                <w:color w:val="auto"/>
                <w:sz w:val="20"/>
              </w:rPr>
              <w:t>BM-Case7: beam measurement feedback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tcPr>
          <w:p>
            <w:pPr>
              <w:pStyle w:val="15"/>
              <w:snapToGrid w:val="0"/>
              <w:spacing w:before="72" w:beforeLines="30" w:after="72" w:afterLines="30" w:line="288" w:lineRule="auto"/>
              <w:rPr>
                <w:color w:val="auto"/>
                <w:sz w:val="20"/>
              </w:rPr>
            </w:pPr>
          </w:p>
        </w:tc>
        <w:tc>
          <w:tcPr>
            <w:tcW w:w="3734" w:type="pct"/>
            <w:vAlign w:val="center"/>
          </w:tcPr>
          <w:p>
            <w:pPr>
              <w:pStyle w:val="15"/>
              <w:snapToGrid w:val="0"/>
              <w:spacing w:before="72" w:beforeLines="30" w:after="72" w:afterLines="30" w:line="288" w:lineRule="auto"/>
              <w:rPr>
                <w:color w:val="auto"/>
                <w:sz w:val="20"/>
              </w:rPr>
            </w:pPr>
            <w:r>
              <w:rPr>
                <w:color w:val="auto"/>
                <w:sz w:val="20"/>
              </w:rPr>
              <w:t>BM-Case8: The beam-specific parameter optimization</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Since the time </w:t>
      </w:r>
      <w:r>
        <w:rPr>
          <w:rFonts w:hint="eastAsia"/>
          <w:sz w:val="20"/>
          <w:szCs w:val="20"/>
        </w:rPr>
        <w:t xml:space="preserve">unit </w:t>
      </w:r>
      <w:r>
        <w:rPr>
          <w:rFonts w:hint="eastAsia" w:eastAsia="Times New Roman"/>
          <w:sz w:val="20"/>
          <w:szCs w:val="20"/>
          <w:lang w:val="en-GB"/>
        </w:rPr>
        <w:t>of this study item is limited, we support to focus on the sub use cases BM-Case1 and BM-Case2 in the first phase due to their huge potential to improve system performance, and whether to discuss other sub use cases depend</w:t>
      </w:r>
      <w:r>
        <w:rPr>
          <w:rFonts w:hint="eastAsia"/>
          <w:sz w:val="20"/>
          <w:szCs w:val="20"/>
        </w:rPr>
        <w:t>s</w:t>
      </w:r>
      <w:r>
        <w:rPr>
          <w:rFonts w:hint="eastAsia" w:eastAsia="Times New Roman"/>
          <w:sz w:val="20"/>
          <w:szCs w:val="20"/>
          <w:lang w:val="en-GB"/>
        </w:rPr>
        <w:t xml:space="preserve"> on the progress of the first phase. Besides, we also notice some potential drawbacks of other sub use cases, which are </w:t>
      </w:r>
      <w:r>
        <w:rPr>
          <w:rFonts w:hint="eastAsia"/>
          <w:sz w:val="20"/>
          <w:szCs w:val="20"/>
        </w:rPr>
        <w:t xml:space="preserve">detailed </w:t>
      </w:r>
      <w:r>
        <w:rPr>
          <w:rFonts w:hint="eastAsia" w:eastAsia="Times New Roman"/>
          <w:sz w:val="20"/>
          <w:szCs w:val="20"/>
          <w:lang w:val="en-GB"/>
        </w:rPr>
        <w:t>in the following.</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sub-use cases BM-Case6 and BM-Case9, they actually share a similar mechanism with BM-Case1</w:t>
      </w:r>
      <w:r>
        <w:rPr>
          <w:rFonts w:hint="eastAsia"/>
          <w:sz w:val="20"/>
          <w:szCs w:val="20"/>
        </w:rPr>
        <w:t>. Th</w:t>
      </w:r>
      <w:r>
        <w:rPr>
          <w:rFonts w:hint="eastAsia" w:eastAsia="Times New Roman"/>
          <w:sz w:val="20"/>
          <w:szCs w:val="20"/>
          <w:lang w:val="en-GB"/>
        </w:rPr>
        <w:t xml:space="preserve">at is, the optimal beam or beam pair is predicted based on measurement results of partial beams, </w:t>
      </w:r>
      <w:r>
        <w:rPr>
          <w:rFonts w:hint="eastAsia"/>
          <w:sz w:val="20"/>
          <w:szCs w:val="20"/>
        </w:rPr>
        <w:t xml:space="preserve">where </w:t>
      </w:r>
      <w:r>
        <w:rPr>
          <w:rFonts w:hint="eastAsia" w:eastAsia="Times New Roman"/>
          <w:sz w:val="20"/>
          <w:szCs w:val="20"/>
          <w:lang w:val="en-GB"/>
        </w:rPr>
        <w:t xml:space="preserve">deep learning based super-resolution technology </w:t>
      </w:r>
      <w:r>
        <w:rPr>
          <w:rFonts w:hint="eastAsia"/>
          <w:sz w:val="20"/>
          <w:szCs w:val="20"/>
        </w:rPr>
        <w:t xml:space="preserve">is utilized </w:t>
      </w:r>
      <w:r>
        <w:rPr>
          <w:rFonts w:hint="eastAsia" w:eastAsia="Times New Roman"/>
          <w:sz w:val="20"/>
          <w:szCs w:val="20"/>
          <w:lang w:val="en-GB"/>
        </w:rPr>
        <w:t xml:space="preserve">to extract the spatial channel correlations. Therefore, </w:t>
      </w:r>
      <w:r>
        <w:rPr>
          <w:rFonts w:eastAsia="Times New Roman"/>
          <w:sz w:val="20"/>
          <w:szCs w:val="20"/>
          <w:lang w:val="en-GB"/>
        </w:rPr>
        <w:t xml:space="preserve">we can focus on BM-Case1 first and try to see if the same framework can be applicable to </w:t>
      </w:r>
      <w:r>
        <w:rPr>
          <w:rFonts w:hint="eastAsia" w:eastAsia="Times New Roman"/>
          <w:sz w:val="20"/>
          <w:szCs w:val="20"/>
          <w:lang w:val="en-GB"/>
        </w:rPr>
        <w:t>sub-use cases BM-Case6 and BM-Case9</w:t>
      </w:r>
      <w:r>
        <w:rPr>
          <w:rFonts w:eastAsia="Times New Roman"/>
          <w:sz w:val="20"/>
          <w:szCs w:val="20"/>
          <w:lang w:val="en-GB"/>
        </w:rPr>
        <w:t xml:space="preserve"> later</w:t>
      </w:r>
      <w:r>
        <w:rPr>
          <w:rFonts w:hint="eastAsia" w:eastAsia="Times New Roman"/>
          <w:sz w:val="20"/>
          <w:szCs w:val="20"/>
          <w:lang w:val="en-GB"/>
        </w:rPr>
        <w: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sub-use case BM-Case3</w:t>
      </w:r>
      <w:r>
        <w:rPr>
          <w:rFonts w:hint="eastAsia" w:eastAsia="Times New Roman"/>
          <w:sz w:val="20"/>
          <w:szCs w:val="20"/>
        </w:rPr>
        <w:t xml:space="preserve">, it has strong dependency on the channel information across different frequency </w:t>
      </w:r>
      <w:r>
        <w:rPr>
          <w:rFonts w:eastAsia="Times New Roman"/>
          <w:sz w:val="20"/>
          <w:szCs w:val="20"/>
        </w:rPr>
        <w:t>range</w:t>
      </w:r>
      <w:r>
        <w:rPr>
          <w:rFonts w:hint="eastAsia" w:eastAsia="Times New Roman"/>
          <w:sz w:val="20"/>
          <w:szCs w:val="20"/>
        </w:rPr>
        <w:t xml:space="preserve">s. Whether it’s reliable enough should be further studied since different frequency </w:t>
      </w:r>
      <w:r>
        <w:rPr>
          <w:rFonts w:eastAsia="Times New Roman"/>
          <w:sz w:val="20"/>
          <w:szCs w:val="20"/>
        </w:rPr>
        <w:t>range</w:t>
      </w:r>
      <w:r>
        <w:rPr>
          <w:rFonts w:hint="eastAsia" w:eastAsia="Times New Roman"/>
          <w:sz w:val="20"/>
          <w:szCs w:val="20"/>
        </w:rPr>
        <w:t xml:space="preserve">s generally have quite different channel characteristics. For the </w:t>
      </w:r>
      <w:r>
        <w:rPr>
          <w:rFonts w:hint="eastAsia" w:eastAsia="Times New Roman"/>
          <w:sz w:val="20"/>
          <w:szCs w:val="20"/>
          <w:lang w:val="en-GB"/>
        </w:rPr>
        <w:t>sub-use case BM-Case</w:t>
      </w:r>
      <w:r>
        <w:rPr>
          <w:rFonts w:hint="eastAsia"/>
          <w:sz w:val="20"/>
          <w:szCs w:val="20"/>
        </w:rPr>
        <w:t xml:space="preserve">4, it </w:t>
      </w:r>
      <w:r>
        <w:rPr>
          <w:rFonts w:hint="eastAsia" w:eastAsia="Times New Roman"/>
          <w:sz w:val="20"/>
          <w:szCs w:val="20"/>
          <w:lang w:val="en-GB"/>
        </w:rPr>
        <w:t xml:space="preserve">may be sensitive to </w:t>
      </w:r>
      <w:r>
        <w:rPr>
          <w:rFonts w:eastAsia="Times New Roman"/>
          <w:sz w:val="20"/>
          <w:szCs w:val="20"/>
          <w:lang w:val="en-GB"/>
        </w:rPr>
        <w:t xml:space="preserve">acquire information of </w:t>
      </w:r>
      <w:r>
        <w:rPr>
          <w:rFonts w:hint="eastAsia" w:eastAsia="Times New Roman"/>
          <w:sz w:val="20"/>
          <w:szCs w:val="20"/>
          <w:lang w:val="en-GB"/>
        </w:rPr>
        <w:t>the movement of surrounding objects</w:t>
      </w:r>
      <w:r>
        <w:rPr>
          <w:rFonts w:hint="eastAsia"/>
          <w:sz w:val="20"/>
          <w:szCs w:val="20"/>
        </w:rPr>
        <w:t xml:space="preserve"> and </w:t>
      </w:r>
      <w:r>
        <w:rPr>
          <w:sz w:val="20"/>
          <w:szCs w:val="20"/>
        </w:rPr>
        <w:t xml:space="preserve">the </w:t>
      </w:r>
      <w:r>
        <w:rPr>
          <w:rFonts w:hint="eastAsia"/>
          <w:sz w:val="20"/>
          <w:szCs w:val="20"/>
        </w:rPr>
        <w:t>current specification doesn</w:t>
      </w:r>
      <w:r>
        <w:rPr>
          <w:sz w:val="20"/>
          <w:szCs w:val="20"/>
        </w:rPr>
        <w:t>’</w:t>
      </w:r>
      <w:r>
        <w:rPr>
          <w:rFonts w:hint="eastAsia"/>
          <w:sz w:val="20"/>
          <w:szCs w:val="20"/>
        </w:rPr>
        <w:t xml:space="preserve">t support UE position to be acquired by NG-RAN (e.g., gNB) node due to privacy issue. </w:t>
      </w:r>
      <w:r>
        <w:rPr>
          <w:sz w:val="20"/>
        </w:rPr>
        <w:t xml:space="preserve">Instead, </w:t>
      </w:r>
      <w:r>
        <w:rPr>
          <w:rFonts w:hint="eastAsia"/>
          <w:sz w:val="20"/>
        </w:rPr>
        <w:t>it is more appropriate to use positioning-related measurement or trajectory as an assistance information for temporal beam prediction</w:t>
      </w:r>
      <w:r>
        <w:rPr>
          <w:rFonts w:hint="eastAsia"/>
          <w:sz w:val="20"/>
          <w:lang w:val="en-US" w:eastAsia="zh-CN"/>
        </w:rPr>
        <w:t xml:space="preserve"> </w:t>
      </w:r>
      <w:r>
        <w:rPr>
          <w:rFonts w:hint="eastAsia"/>
          <w:sz w:val="20"/>
          <w:szCs w:val="20"/>
        </w:rPr>
        <w:t>[2][3]</w:t>
      </w:r>
      <w:r>
        <w:rPr>
          <w:rFonts w:hint="eastAsia"/>
          <w:sz w:val="20"/>
        </w:rPr>
        <w:t xml:space="preserve">. </w:t>
      </w:r>
      <w:r>
        <w:rPr>
          <w:sz w:val="20"/>
        </w:rPr>
        <w:t xml:space="preserve">In this case, we can combine this study with BM-Case2 under the framework of temporal DL beam prediction. </w:t>
      </w:r>
    </w:p>
    <w:p>
      <w:pPr>
        <w:spacing w:before="72" w:beforeLines="30" w:after="72" w:afterLines="30" w:line="288" w:lineRule="auto"/>
        <w:jc w:val="both"/>
        <w:rPr>
          <w:rFonts w:eastAsia="Times New Roman"/>
          <w:sz w:val="20"/>
          <w:szCs w:val="20"/>
        </w:rPr>
      </w:pPr>
      <w:r>
        <w:rPr>
          <w:rFonts w:hint="eastAsia" w:eastAsia="Times New Roman"/>
          <w:sz w:val="20"/>
          <w:szCs w:val="20"/>
          <w:lang w:val="en-GB"/>
        </w:rPr>
        <w:t>For the sub-use case BM-Case7, whether beam reporting overhead is a big problem should be carefully discussed before this case is selected as a representative use case. At least when the AI/ML model is deployed on the UE side, the UE may only need to report the optimal beam information to the gNB without additional compression related operation, where the associated reporting overhead is acceptable. For the sub use case BM-Case8, compared with predefined (e.g., DFT) codebooks, the codebook construction or beam-specific parameter optimization based on channel characteristics leads to additional complexity and is hard to be aligned among different companies</w:t>
      </w:r>
      <w:r>
        <w:rPr>
          <w:rFonts w:hint="eastAsia" w:eastAsia="Times New Roman"/>
          <w:sz w:val="20"/>
          <w:szCs w:val="20"/>
        </w:rPr>
        <w:t>.</w:t>
      </w:r>
    </w:p>
    <w:p>
      <w:pPr>
        <w:snapToGrid w:val="0"/>
        <w:spacing w:before="72" w:beforeLines="30" w:after="72" w:afterLines="30" w:line="288" w:lineRule="auto"/>
        <w:jc w:val="both"/>
        <w:rPr>
          <w:rFonts w:eastAsia="微软雅黑"/>
          <w:sz w:val="20"/>
          <w:szCs w:val="20"/>
        </w:rPr>
      </w:pPr>
      <w:r>
        <w:rPr>
          <w:rFonts w:hint="eastAsia" w:eastAsia="Times New Roman"/>
          <w:b/>
          <w:bCs/>
          <w:i/>
          <w:iCs/>
          <w:sz w:val="20"/>
          <w:szCs w:val="20"/>
          <w:lang w:val="en-GB"/>
        </w:rPr>
        <w:t xml:space="preserve">Proposal 1: </w:t>
      </w:r>
      <w:r>
        <w:rPr>
          <w:rFonts w:hint="eastAsia" w:eastAsia="Times New Roman"/>
          <w:i/>
          <w:iCs/>
          <w:sz w:val="20"/>
          <w:szCs w:val="20"/>
          <w:lang w:val="en-GB"/>
        </w:rPr>
        <w:t>Since the time unit of this study item is limited, we suggest to focus on the sub use cases BM-Case1 and BM-Case2 in the first phase, and whether to discuss other sub use cases depend</w:t>
      </w:r>
      <w:r>
        <w:rPr>
          <w:rFonts w:hint="eastAsia"/>
          <w:i/>
          <w:iCs/>
          <w:sz w:val="20"/>
          <w:szCs w:val="20"/>
        </w:rPr>
        <w:t>s</w:t>
      </w:r>
      <w:r>
        <w:rPr>
          <w:rFonts w:hint="eastAsia" w:eastAsia="Times New Roman"/>
          <w:i/>
          <w:iCs/>
          <w:sz w:val="20"/>
          <w:szCs w:val="20"/>
          <w:lang w:val="en-GB"/>
        </w:rPr>
        <w:t xml:space="preserve"> on the progress of the first phase.</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b/>
          <w:sz w:val="24"/>
          <w:szCs w:val="20"/>
        </w:rPr>
        <w:t>Spatial-domain DL beam prediction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Spatial-domain beam prediction aims at predicting the optimal beam or beam pair based on measurement results of partial beams or wide beams by utilizing the AI/ML technology. For an AI/ML-based beam prediction model, two basic factors are the input and output. Thus, in order to design a model of a specific sub use case, the input and output need to be clearly defined. Besides, the construction of beam sets for AI/ML input and output also needs to be further refined. In the following, we will elaborate our views on beam set construction, AI input, and AI output, respectively.</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Beam set construction: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In RAN1#109-e, the following conclusion regarding the beam set construction was made for progress. Wherein, the beam sets for measurement and prediction were considered to be constructed with the same or different beam width.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72" w:beforeLines="30" w:after="72" w:afterLines="30" w:line="288" w:lineRule="auto"/>
              <w:rPr>
                <w:sz w:val="20"/>
                <w:szCs w:val="20"/>
              </w:rPr>
            </w:pPr>
            <w:r>
              <w:rPr>
                <w:sz w:val="20"/>
                <w:szCs w:val="20"/>
              </w:rPr>
              <w:t>For the sub use case BM-Case1, consider the following alternatives for further study:</w:t>
            </w:r>
          </w:p>
          <w:p>
            <w:pPr>
              <w:numPr>
                <w:ilvl w:val="0"/>
                <w:numId w:val="6"/>
              </w:numPr>
              <w:snapToGrid w:val="0"/>
              <w:spacing w:before="72" w:beforeLines="30" w:after="72" w:afterLines="30" w:line="288" w:lineRule="auto"/>
              <w:rPr>
                <w:sz w:val="20"/>
                <w:szCs w:val="20"/>
              </w:rPr>
            </w:pPr>
            <w:r>
              <w:rPr>
                <w:sz w:val="20"/>
                <w:szCs w:val="20"/>
              </w:rPr>
              <w:t>Alt.1: Set B is a subset of Set A</w:t>
            </w:r>
          </w:p>
          <w:p>
            <w:pPr>
              <w:snapToGrid w:val="0"/>
              <w:spacing w:before="72" w:beforeLines="30" w:after="72" w:afterLines="30" w:line="288" w:lineRule="auto"/>
              <w:ind w:left="1080" w:hanging="360"/>
              <w:rPr>
                <w:sz w:val="20"/>
                <w:szCs w:val="20"/>
              </w:rPr>
            </w:pPr>
            <w:r>
              <w:rPr>
                <w:sz w:val="20"/>
                <w:szCs w:val="20"/>
              </w:rPr>
              <w:t>o   FFS: the number of beams in Set A and B</w:t>
            </w:r>
          </w:p>
          <w:p>
            <w:pPr>
              <w:snapToGrid w:val="0"/>
              <w:spacing w:before="72" w:beforeLines="30" w:after="72" w:afterLines="30" w:line="288" w:lineRule="auto"/>
              <w:ind w:left="1080" w:hanging="360"/>
              <w:rPr>
                <w:sz w:val="20"/>
                <w:szCs w:val="20"/>
              </w:rPr>
            </w:pPr>
            <w:r>
              <w:rPr>
                <w:sz w:val="20"/>
                <w:szCs w:val="20"/>
              </w:rPr>
              <w:t>o   FFS: how to determine Set B out of the beams in Set A (e.g., fixed pattern, random pattern, …)</w:t>
            </w:r>
          </w:p>
          <w:p>
            <w:pPr>
              <w:numPr>
                <w:ilvl w:val="0"/>
                <w:numId w:val="6"/>
              </w:numPr>
              <w:snapToGrid w:val="0"/>
              <w:spacing w:before="72" w:beforeLines="30" w:after="72" w:afterLines="30" w:line="288" w:lineRule="auto"/>
              <w:rPr>
                <w:sz w:val="20"/>
                <w:szCs w:val="20"/>
              </w:rPr>
            </w:pPr>
            <w:r>
              <w:rPr>
                <w:sz w:val="20"/>
                <w:szCs w:val="20"/>
              </w:rPr>
              <w:t>Alt.2: Set A and Set B are different (e.g. Set A consists of narrow beams and Set B consists of wide beams)</w:t>
            </w:r>
          </w:p>
          <w:p>
            <w:pPr>
              <w:snapToGrid w:val="0"/>
              <w:spacing w:before="72" w:beforeLines="30" w:after="72" w:afterLines="30" w:line="288" w:lineRule="auto"/>
              <w:ind w:left="1080" w:hanging="360"/>
              <w:rPr>
                <w:sz w:val="20"/>
                <w:szCs w:val="20"/>
              </w:rPr>
            </w:pPr>
            <w:r>
              <w:rPr>
                <w:sz w:val="20"/>
                <w:szCs w:val="20"/>
              </w:rPr>
              <w:t>o   FFS: the number of beams in Set A and B</w:t>
            </w:r>
          </w:p>
          <w:p>
            <w:pPr>
              <w:snapToGrid w:val="0"/>
              <w:spacing w:before="72" w:beforeLines="30" w:after="72" w:afterLines="30" w:line="288" w:lineRule="auto"/>
              <w:ind w:left="1080" w:hanging="360"/>
              <w:rPr>
                <w:sz w:val="20"/>
                <w:szCs w:val="20"/>
              </w:rPr>
            </w:pPr>
            <w:r>
              <w:rPr>
                <w:sz w:val="20"/>
                <w:szCs w:val="20"/>
              </w:rPr>
              <w:t>o   FFS: QCL relation between beams in Set A and beams in Set B</w:t>
            </w:r>
          </w:p>
          <w:p>
            <w:pPr>
              <w:numPr>
                <w:ilvl w:val="0"/>
                <w:numId w:val="6"/>
              </w:numPr>
              <w:snapToGrid w:val="0"/>
              <w:spacing w:before="72" w:beforeLines="30" w:after="72" w:afterLines="30" w:line="288" w:lineRule="auto"/>
              <w:rPr>
                <w:sz w:val="20"/>
                <w:szCs w:val="20"/>
              </w:rPr>
            </w:pPr>
            <w:r>
              <w:rPr>
                <w:sz w:val="20"/>
                <w:szCs w:val="20"/>
              </w:rPr>
              <w:t>Note1: Set A is for DL beam prediction and Set B is for DL beam measurement.</w:t>
            </w:r>
          </w:p>
          <w:p>
            <w:pPr>
              <w:numPr>
                <w:ilvl w:val="0"/>
                <w:numId w:val="6"/>
              </w:numPr>
              <w:snapToGrid w:val="0"/>
              <w:spacing w:before="72" w:beforeLines="30" w:after="72" w:afterLines="30" w:line="288" w:lineRule="auto"/>
              <w:rPr>
                <w:sz w:val="20"/>
                <w:szCs w:val="20"/>
              </w:rPr>
            </w:pPr>
            <w:r>
              <w:rPr>
                <w:sz w:val="20"/>
                <w:szCs w:val="20"/>
              </w:rPr>
              <w:t>Note2: The narrow and wide beam terminology is for SI discussion only and have no specification impact</w:t>
            </w:r>
          </w:p>
          <w:p>
            <w:pPr>
              <w:numPr>
                <w:ilvl w:val="0"/>
                <w:numId w:val="6"/>
              </w:numPr>
              <w:snapToGrid w:val="0"/>
              <w:spacing w:before="72" w:beforeLines="30" w:after="72" w:afterLines="30" w:line="288" w:lineRule="auto"/>
              <w:rPr>
                <w:sz w:val="20"/>
                <w:szCs w:val="20"/>
              </w:rPr>
            </w:pPr>
            <w:r>
              <w:rPr>
                <w:sz w:val="20"/>
                <w:szCs w:val="20"/>
              </w:rPr>
              <w:t>Note3: The codebook constructions of Set A and Set B can be clarified by the companies.</w:t>
            </w:r>
          </w:p>
        </w:tc>
      </w:tr>
    </w:tbl>
    <w:p>
      <w:pPr>
        <w:snapToGrid w:val="0"/>
        <w:spacing w:before="72" w:beforeLines="30" w:after="72" w:afterLines="30" w:line="288" w:lineRule="auto"/>
        <w:jc w:val="both"/>
        <w:rPr>
          <w:rFonts w:hint="default" w:eastAsia="宋体"/>
          <w:sz w:val="20"/>
          <w:szCs w:val="20"/>
          <w:lang w:val="en-US" w:eastAsia="zh-CN"/>
        </w:rPr>
      </w:pPr>
      <w:bookmarkStart w:id="2" w:name="_Hlk111130194"/>
      <w:r>
        <w:rPr>
          <w:rFonts w:hint="eastAsia" w:eastAsia="Times New Roman"/>
          <w:sz w:val="20"/>
          <w:szCs w:val="20"/>
          <w:lang w:val="en-GB"/>
        </w:rPr>
        <w:t>As far as we are concerned</w:t>
      </w:r>
      <w:bookmarkEnd w:id="2"/>
      <w:r>
        <w:rPr>
          <w:rFonts w:hint="eastAsia" w:eastAsia="Times New Roman"/>
          <w:sz w:val="20"/>
          <w:szCs w:val="20"/>
          <w:lang w:val="en-GB"/>
        </w:rPr>
        <w:t xml:space="preserve">, both the sub-sampling based method in Alt.1 and the hierarchical based method in Alt.2 can be considered for spatial domain beam prediction at the early stage of the SI, and down selection may be needed when evaluation results are available. In the sub-sampling based </w:t>
      </w:r>
      <w:r>
        <w:rPr>
          <w:rFonts w:hint="eastAsia"/>
          <w:sz w:val="20"/>
          <w:szCs w:val="20"/>
        </w:rPr>
        <w:t>method</w:t>
      </w:r>
      <w:r>
        <w:rPr>
          <w:rFonts w:hint="eastAsia" w:eastAsia="Times New Roman"/>
          <w:sz w:val="20"/>
          <w:szCs w:val="20"/>
          <w:lang w:val="en-GB"/>
        </w:rPr>
        <w:t>, the beam sets for measurement and for prediction originate from the same codebook with the same beam width. Therefore, the implementation is relatively simple. In contrast, different beam width</w:t>
      </w:r>
      <w:r>
        <w:rPr>
          <w:rFonts w:hint="eastAsia"/>
          <w:sz w:val="20"/>
          <w:szCs w:val="20"/>
        </w:rPr>
        <w:t>s</w:t>
      </w:r>
      <w:r>
        <w:rPr>
          <w:rFonts w:hint="eastAsia" w:eastAsia="Times New Roman"/>
          <w:sz w:val="20"/>
          <w:szCs w:val="20"/>
          <w:lang w:val="en-GB"/>
        </w:rPr>
        <w:t xml:space="preserve"> are used in the hierarchical based method in Alt.2. Different methods of forming wide and narrow beams may have a great impact on AI </w:t>
      </w:r>
      <w:r>
        <w:rPr>
          <w:rFonts w:hint="eastAsia"/>
          <w:sz w:val="20"/>
          <w:szCs w:val="20"/>
        </w:rPr>
        <w:t xml:space="preserve">inference </w:t>
      </w:r>
      <w:r>
        <w:rPr>
          <w:rFonts w:hint="eastAsia" w:eastAsia="Times New Roman"/>
          <w:sz w:val="20"/>
          <w:szCs w:val="20"/>
          <w:lang w:val="en-GB"/>
        </w:rPr>
        <w:t xml:space="preserve">performance and the quality of existing communication services. </w:t>
      </w:r>
      <w:r>
        <w:rPr>
          <w:rFonts w:hint="eastAsia"/>
          <w:sz w:val="20"/>
          <w:szCs w:val="20"/>
          <w:lang w:val="en-US" w:eastAsia="zh-CN"/>
        </w:rPr>
        <w:t xml:space="preserve">Nevertheless, Alt.2 may matches more with the current spec that SSB (wide beams) have to be sent anyway. </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In the sub-sampling based method, measurement results on partial beams are used as AI input to predict the beam quality information of the whole beam space. Obviously, the number of beams for measurement (i.e., set B) and for prediction (i.e., set A) is related to the trade-off between inference performance and RS overhead for beam measurement. Specifically, the </w:t>
      </w:r>
      <w:r>
        <w:rPr>
          <w:rFonts w:eastAsia="Times New Roman"/>
          <w:sz w:val="20"/>
          <w:szCs w:val="20"/>
          <w:lang w:val="en-GB"/>
        </w:rPr>
        <w:t>more</w:t>
      </w:r>
      <w:r>
        <w:rPr>
          <w:rFonts w:hint="eastAsia" w:eastAsia="Times New Roman"/>
          <w:sz w:val="20"/>
          <w:szCs w:val="20"/>
          <w:lang w:val="en-GB"/>
        </w:rPr>
        <w:t xml:space="preserve"> beams </w:t>
      </w:r>
      <w:r>
        <w:rPr>
          <w:rFonts w:eastAsia="Times New Roman"/>
          <w:sz w:val="20"/>
          <w:szCs w:val="20"/>
          <w:lang w:val="en-GB"/>
        </w:rPr>
        <w:t>are required</w:t>
      </w:r>
      <w:r>
        <w:rPr>
          <w:rFonts w:hint="eastAsia" w:eastAsia="Times New Roman"/>
          <w:sz w:val="20"/>
          <w:szCs w:val="20"/>
          <w:lang w:val="en-GB"/>
        </w:rPr>
        <w:t xml:space="preserve"> for measurement, the higher </w:t>
      </w:r>
      <w:r>
        <w:rPr>
          <w:rFonts w:eastAsia="Times New Roman"/>
          <w:sz w:val="20"/>
          <w:szCs w:val="20"/>
          <w:lang w:val="en-GB"/>
        </w:rPr>
        <w:t xml:space="preserve">would be </w:t>
      </w:r>
      <w:r>
        <w:rPr>
          <w:rFonts w:hint="eastAsia"/>
          <w:sz w:val="20"/>
          <w:szCs w:val="20"/>
        </w:rPr>
        <w:t xml:space="preserve">the RS </w:t>
      </w:r>
      <w:r>
        <w:rPr>
          <w:rFonts w:hint="eastAsia" w:eastAsia="Times New Roman"/>
          <w:sz w:val="20"/>
          <w:szCs w:val="20"/>
          <w:lang w:val="en-GB"/>
        </w:rPr>
        <w:t>overhead of beam measurement. At the same time, more channel correlation information can be extracted by the AI model, resulting in a better inference performance. An ideal approach may be to dynamically learn or adjust the number of beams for measurement according to requirements for beam prediction performance. As for the measurement beam selective pattern, the training samples required for a fixed beam pattern are relatively small and a stable performance gain can be obtained</w:t>
      </w:r>
      <w:r>
        <w:rPr>
          <w:rFonts w:hint="eastAsia"/>
          <w:sz w:val="20"/>
          <w:szCs w:val="20"/>
        </w:rPr>
        <w:t xml:space="preserve"> [4]</w:t>
      </w:r>
      <w:r>
        <w:rPr>
          <w:rFonts w:hint="eastAsia" w:eastAsia="Times New Roman"/>
          <w:sz w:val="20"/>
          <w:szCs w:val="20"/>
          <w:lang w:val="en-GB"/>
        </w:rPr>
        <w:t xml:space="preserve">. </w:t>
      </w:r>
      <w:r>
        <w:rPr>
          <w:rFonts w:hint="eastAsia"/>
          <w:sz w:val="20"/>
          <w:szCs w:val="20"/>
        </w:rPr>
        <w:t>F</w:t>
      </w:r>
      <w:r>
        <w:rPr>
          <w:rFonts w:hint="eastAsia" w:eastAsia="Times New Roman"/>
          <w:sz w:val="20"/>
          <w:szCs w:val="20"/>
          <w:lang w:val="en-GB"/>
        </w:rPr>
        <w:t>or the case of the random pattern being used, each beam may need to be accompanied by additional ID information, resulting in additional standardization efforts.</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rPr>
        <w:t>1</w:t>
      </w:r>
      <w:r>
        <w:rPr>
          <w:rFonts w:hint="eastAsia" w:eastAsia="Times New Roman"/>
          <w:b/>
          <w:bCs/>
          <w:i/>
          <w:iCs/>
          <w:sz w:val="20"/>
          <w:szCs w:val="20"/>
          <w:lang w:val="en-GB"/>
        </w:rPr>
        <w:t xml:space="preserve">: </w:t>
      </w:r>
      <w:r>
        <w:rPr>
          <w:rFonts w:hint="eastAsia" w:eastAsia="Times New Roman"/>
          <w:i/>
          <w:iCs/>
          <w:sz w:val="20"/>
          <w:szCs w:val="20"/>
          <w:lang w:val="en-GB"/>
        </w:rPr>
        <w:t xml:space="preserve">The number of beams for measurement (i.e., set B) and for prediction (i.e., set A) is related to the trade-off between inference performance and </w:t>
      </w:r>
      <w:r>
        <w:rPr>
          <w:rFonts w:hint="eastAsia"/>
          <w:i/>
          <w:iCs/>
          <w:sz w:val="20"/>
          <w:szCs w:val="20"/>
        </w:rPr>
        <w:t>RS</w:t>
      </w:r>
      <w:r>
        <w:rPr>
          <w:rFonts w:hint="eastAsia" w:eastAsia="Times New Roman"/>
          <w:i/>
          <w:iCs/>
          <w:sz w:val="20"/>
          <w:szCs w:val="20"/>
          <w:lang w:val="en-GB"/>
        </w:rPr>
        <w:t xml:space="preserve"> overhead</w:t>
      </w:r>
      <w:r>
        <w:rPr>
          <w:rFonts w:hint="eastAsia"/>
          <w:i/>
          <w:iCs/>
          <w:sz w:val="20"/>
          <w:szCs w:val="20"/>
        </w:rPr>
        <w:t xml:space="preserve"> for beam measurement</w:t>
      </w:r>
      <w:r>
        <w:rPr>
          <w:rFonts w:hint="eastAsia" w:eastAsia="Times New Roman"/>
          <w:i/>
          <w:iCs/>
          <w:sz w:val="20"/>
          <w:szCs w:val="20"/>
          <w:lang w:val="en-GB"/>
        </w:rPr>
        <w:t xml:space="preserve">. </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Proposal 2:</w:t>
      </w:r>
      <w:r>
        <w:rPr>
          <w:rFonts w:hint="eastAsia" w:eastAsia="Times New Roman"/>
          <w:i/>
          <w:iCs/>
          <w:sz w:val="20"/>
          <w:szCs w:val="20"/>
          <w:lang w:val="en-GB"/>
        </w:rPr>
        <w:t xml:space="preserve"> </w:t>
      </w:r>
      <w:r>
        <w:rPr>
          <w:rFonts w:hint="eastAsia"/>
          <w:i/>
          <w:iCs/>
          <w:sz w:val="20"/>
          <w:szCs w:val="20"/>
        </w:rPr>
        <w:t>T</w:t>
      </w:r>
      <w:r>
        <w:rPr>
          <w:rFonts w:hint="eastAsia" w:eastAsia="Times New Roman"/>
          <w:i/>
          <w:iCs/>
          <w:sz w:val="20"/>
          <w:szCs w:val="20"/>
          <w:lang w:val="en-GB"/>
        </w:rPr>
        <w:t>he sub-sampling based method in Alt.1</w:t>
      </w:r>
      <w:r>
        <w:rPr>
          <w:rFonts w:hint="eastAsia"/>
          <w:i/>
          <w:iCs/>
          <w:sz w:val="20"/>
          <w:szCs w:val="20"/>
        </w:rPr>
        <w:t xml:space="preserve"> can serve as a </w:t>
      </w:r>
      <w:r>
        <w:rPr>
          <w:i/>
          <w:iCs/>
          <w:sz w:val="20"/>
          <w:szCs w:val="20"/>
        </w:rPr>
        <w:t>starting point</w:t>
      </w:r>
      <w:r>
        <w:rPr>
          <w:rFonts w:hint="eastAsia"/>
          <w:i/>
          <w:iCs/>
          <w:sz w:val="20"/>
          <w:szCs w:val="20"/>
        </w:rPr>
        <w:t xml:space="preserve"> </w:t>
      </w:r>
      <w:r>
        <w:rPr>
          <w:rFonts w:hint="eastAsia" w:eastAsia="Times New Roman"/>
          <w:i/>
          <w:iCs/>
          <w:sz w:val="20"/>
          <w:szCs w:val="20"/>
          <w:lang w:val="en-GB"/>
        </w:rPr>
        <w:t>for</w:t>
      </w:r>
      <w:r>
        <w:rPr>
          <w:rFonts w:eastAsia="Times New Roman"/>
          <w:i/>
          <w:iCs/>
          <w:sz w:val="20"/>
          <w:szCs w:val="20"/>
          <w:lang w:val="en-GB"/>
        </w:rPr>
        <w:t xml:space="preserve"> the study of</w:t>
      </w:r>
      <w:r>
        <w:rPr>
          <w:rFonts w:hint="eastAsia" w:eastAsia="Times New Roman"/>
          <w:i/>
          <w:iCs/>
          <w:sz w:val="20"/>
          <w:szCs w:val="20"/>
          <w:lang w:val="en-GB"/>
        </w:rPr>
        <w:t xml:space="preserve"> spatial domain beam prediction.</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Proposal 3: </w:t>
      </w:r>
      <w:r>
        <w:rPr>
          <w:rFonts w:eastAsia="Times New Roman"/>
          <w:i/>
          <w:iCs/>
          <w:sz w:val="20"/>
          <w:szCs w:val="20"/>
        </w:rPr>
        <w:t xml:space="preserve">The </w:t>
      </w:r>
      <w:r>
        <w:rPr>
          <w:rFonts w:hint="eastAsia"/>
          <w:i/>
          <w:iCs/>
          <w:sz w:val="20"/>
          <w:szCs w:val="20"/>
        </w:rPr>
        <w:t>association in reference signals</w:t>
      </w:r>
      <w:r>
        <w:rPr>
          <w:rFonts w:eastAsia="Times New Roman"/>
          <w:i/>
          <w:iCs/>
          <w:sz w:val="20"/>
          <w:szCs w:val="20"/>
        </w:rPr>
        <w:t xml:space="preserve"> between </w:t>
      </w:r>
      <w:r>
        <w:rPr>
          <w:rFonts w:hint="eastAsia"/>
          <w:i/>
          <w:iCs/>
          <w:sz w:val="20"/>
          <w:szCs w:val="20"/>
        </w:rPr>
        <w:t>two</w:t>
      </w:r>
      <w:r>
        <w:rPr>
          <w:rFonts w:eastAsia="Times New Roman"/>
          <w:i/>
          <w:iCs/>
          <w:sz w:val="20"/>
          <w:szCs w:val="20"/>
        </w:rPr>
        <w:t xml:space="preserve"> sets with different </w:t>
      </w:r>
      <w:r>
        <w:rPr>
          <w:rFonts w:hint="eastAsia"/>
          <w:i/>
          <w:iCs/>
          <w:sz w:val="20"/>
          <w:szCs w:val="20"/>
        </w:rPr>
        <w:t xml:space="preserve">beam </w:t>
      </w:r>
      <w:r>
        <w:rPr>
          <w:rFonts w:eastAsia="Times New Roman"/>
          <w:i/>
          <w:iCs/>
          <w:sz w:val="20"/>
          <w:szCs w:val="20"/>
        </w:rPr>
        <w:t>widths</w:t>
      </w:r>
      <w:r>
        <w:rPr>
          <w:rFonts w:hint="eastAsia" w:eastAsia="Times New Roman"/>
          <w:i/>
          <w:iCs/>
          <w:sz w:val="20"/>
          <w:szCs w:val="20"/>
          <w:lang w:val="en-GB"/>
        </w:rPr>
        <w:t xml:space="preserve"> need to be further studied.</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input: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Many alternatives for AI input were proposed in RAN1#109-e and the following conclusion was obtained.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72" w:beforeLines="30" w:after="72" w:afterLines="30" w:line="288" w:lineRule="auto"/>
              <w:rPr>
                <w:sz w:val="20"/>
                <w:szCs w:val="20"/>
              </w:rPr>
            </w:pPr>
            <w:r>
              <w:rPr>
                <w:sz w:val="20"/>
                <w:szCs w:val="20"/>
              </w:rPr>
              <w:t>Regarding the sub use case BM-Case1, further study the following alternatives for AI/ML input:</w:t>
            </w:r>
          </w:p>
          <w:p>
            <w:pPr>
              <w:numPr>
                <w:ilvl w:val="0"/>
                <w:numId w:val="6"/>
              </w:numPr>
              <w:snapToGrid w:val="0"/>
              <w:spacing w:before="72" w:beforeLines="30" w:after="72" w:afterLines="30" w:line="288" w:lineRule="auto"/>
              <w:rPr>
                <w:sz w:val="20"/>
                <w:szCs w:val="20"/>
              </w:rPr>
            </w:pPr>
            <w:r>
              <w:rPr>
                <w:sz w:val="20"/>
                <w:szCs w:val="20"/>
              </w:rPr>
              <w:t>Alt.1: Only L1-RSRP measurement based on Set B</w:t>
            </w:r>
          </w:p>
          <w:p>
            <w:pPr>
              <w:numPr>
                <w:ilvl w:val="0"/>
                <w:numId w:val="6"/>
              </w:numPr>
              <w:snapToGrid w:val="0"/>
              <w:spacing w:before="72" w:beforeLines="30" w:after="72" w:afterLines="30" w:line="288" w:lineRule="auto"/>
              <w:rPr>
                <w:sz w:val="20"/>
                <w:szCs w:val="20"/>
              </w:rPr>
            </w:pPr>
            <w:r>
              <w:rPr>
                <w:sz w:val="20"/>
                <w:szCs w:val="20"/>
              </w:rPr>
              <w:t>Alt.2: L1-RSRP measurement based on Set B and assistance information</w:t>
            </w:r>
          </w:p>
          <w:p>
            <w:pPr>
              <w:numPr>
                <w:ilvl w:val="1"/>
                <w:numId w:val="6"/>
              </w:numPr>
              <w:snapToGrid w:val="0"/>
              <w:spacing w:before="72" w:beforeLines="30" w:after="72" w:afterLines="30" w:line="288" w:lineRule="auto"/>
              <w:rPr>
                <w:sz w:val="20"/>
                <w:szCs w:val="20"/>
              </w:rPr>
            </w:pPr>
            <w:r>
              <w:rPr>
                <w:sz w:val="20"/>
                <w:szCs w:val="20"/>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pPr>
              <w:numPr>
                <w:ilvl w:val="2"/>
                <w:numId w:val="6"/>
              </w:numPr>
              <w:snapToGrid w:val="0"/>
              <w:spacing w:before="72" w:beforeLines="30" w:after="72" w:afterLines="30" w:line="288" w:lineRule="auto"/>
              <w:rPr>
                <w:sz w:val="20"/>
                <w:szCs w:val="20"/>
              </w:rPr>
            </w:pPr>
            <w:r>
              <w:rPr>
                <w:sz w:val="20"/>
                <w:szCs w:val="20"/>
              </w:rPr>
              <w:t> Note: The provision of assistance information may be infeasible due to the concern of disclosing proprietary information to the other side.</w:t>
            </w:r>
          </w:p>
          <w:p>
            <w:pPr>
              <w:numPr>
                <w:ilvl w:val="0"/>
                <w:numId w:val="6"/>
              </w:numPr>
              <w:snapToGrid w:val="0"/>
              <w:spacing w:before="72" w:beforeLines="30" w:after="72" w:afterLines="30" w:line="288" w:lineRule="auto"/>
              <w:rPr>
                <w:sz w:val="20"/>
                <w:szCs w:val="20"/>
              </w:rPr>
            </w:pPr>
            <w:r>
              <w:rPr>
                <w:sz w:val="20"/>
                <w:szCs w:val="20"/>
              </w:rPr>
              <w:t>Alt.3: CIR based on Set B</w:t>
            </w:r>
          </w:p>
          <w:p>
            <w:pPr>
              <w:numPr>
                <w:ilvl w:val="0"/>
                <w:numId w:val="6"/>
              </w:numPr>
              <w:snapToGrid w:val="0"/>
              <w:spacing w:before="72" w:beforeLines="30" w:after="72" w:afterLines="30" w:line="288" w:lineRule="auto"/>
              <w:rPr>
                <w:sz w:val="20"/>
                <w:szCs w:val="20"/>
              </w:rPr>
            </w:pPr>
            <w:r>
              <w:rPr>
                <w:sz w:val="20"/>
                <w:szCs w:val="20"/>
              </w:rPr>
              <w:t>Alt.4: L1-RSRP measurement based on Set B and the corresponding DL Tx and/or Rx beam ID</w:t>
            </w:r>
          </w:p>
          <w:p>
            <w:pPr>
              <w:numPr>
                <w:ilvl w:val="0"/>
                <w:numId w:val="6"/>
              </w:numPr>
              <w:snapToGrid w:val="0"/>
              <w:spacing w:before="72" w:beforeLines="30" w:after="72" w:afterLines="30" w:line="288" w:lineRule="auto"/>
              <w:rPr>
                <w:sz w:val="20"/>
                <w:szCs w:val="20"/>
              </w:rPr>
            </w:pPr>
            <w:r>
              <w:rPr>
                <w:sz w:val="20"/>
                <w:szCs w:val="20"/>
              </w:rPr>
              <w:t>Note1: It is up to companies to provide other alternative(s) including the combination of some alternatives</w:t>
            </w:r>
          </w:p>
          <w:p>
            <w:pPr>
              <w:numPr>
                <w:ilvl w:val="0"/>
                <w:numId w:val="6"/>
              </w:numPr>
              <w:snapToGrid w:val="0"/>
              <w:spacing w:before="72" w:beforeLines="30" w:after="72" w:afterLines="30" w:line="288" w:lineRule="auto"/>
              <w:rPr>
                <w:sz w:val="20"/>
                <w:szCs w:val="20"/>
              </w:rPr>
            </w:pPr>
            <w:r>
              <w:rPr>
                <w:sz w:val="20"/>
                <w:szCs w:val="20"/>
              </w:rPr>
              <w:t>Note2: All the inputs are “nominal” and only for discussion purpose.</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The down selection of all alternatives is heavily dependent on the evaluation results. For Alt.1 and Alt.4, the necessity of using beam ID as part of the AI input is directly related to the adopted beam pattern. If the beam set B for measurement uses a fixed beam pattern, only the corresponding measured RSRP need to be input to the AI model, which leads to relatively less standardization work. However, if the beam set B for measurement uses a random beam pattern, it may be critical to include the corresponding beam ID as part of the model input to improve the inference accuracy. Wherein, the beam ID is utilized to identify the position of the corresponding beam in the beam space.</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For Alt.2, it is intuitively beneficial to have more available assistance information related to beam shape, UE location, etc., as AI input to improve the beam prediction accuracy. However, more assistan</w:t>
      </w:r>
      <w:r>
        <w:rPr>
          <w:rFonts w:hint="eastAsia"/>
          <w:sz w:val="20"/>
          <w:szCs w:val="20"/>
        </w:rPr>
        <w:t>ce</w:t>
      </w:r>
      <w:r>
        <w:rPr>
          <w:rFonts w:hint="eastAsia" w:eastAsia="Times New Roman"/>
          <w:sz w:val="20"/>
          <w:szCs w:val="20"/>
          <w:lang w:val="en-GB"/>
        </w:rPr>
        <w:t xml:space="preserve"> information also results in more complex neural networks and training overhead. According to the simulation results provided in our accompanied contribution</w:t>
      </w:r>
      <w:r>
        <w:rPr>
          <w:rFonts w:hint="eastAsia"/>
          <w:sz w:val="20"/>
          <w:szCs w:val="20"/>
        </w:rPr>
        <w:t xml:space="preserve"> [</w:t>
      </w:r>
      <w:r>
        <w:rPr>
          <w:rFonts w:hint="eastAsia"/>
          <w:sz w:val="20"/>
          <w:szCs w:val="20"/>
          <w:lang w:val="en-US" w:eastAsia="zh-CN"/>
        </w:rPr>
        <w:t>4</w:t>
      </w:r>
      <w:r>
        <w:rPr>
          <w:rFonts w:hint="eastAsia"/>
          <w:sz w:val="20"/>
          <w:szCs w:val="20"/>
        </w:rPr>
        <w:t>]</w:t>
      </w:r>
      <w:r>
        <w:rPr>
          <w:rFonts w:hint="eastAsia" w:eastAsia="Times New Roman"/>
          <w:sz w:val="20"/>
          <w:szCs w:val="20"/>
          <w:lang w:val="en-GB"/>
        </w:rPr>
        <w:t>, a fairly good beam prediction performance can be obtained by using the measurement results of the beam set B and/or beam IDs without other assistance information. Moreover, much of the assistan</w:t>
      </w:r>
      <w:r>
        <w:rPr>
          <w:rFonts w:hint="eastAsia"/>
          <w:sz w:val="20"/>
          <w:szCs w:val="20"/>
        </w:rPr>
        <w:t>ce</w:t>
      </w:r>
      <w:r>
        <w:rPr>
          <w:rFonts w:hint="eastAsia" w:eastAsia="Times New Roman"/>
          <w:sz w:val="20"/>
          <w:szCs w:val="20"/>
          <w:lang w:val="en-GB"/>
        </w:rPr>
        <w:t xml:space="preserve"> information mentioned in Alt.2 is </w:t>
      </w:r>
      <w:r>
        <w:rPr>
          <w:rFonts w:hint="eastAsia"/>
          <w:sz w:val="20"/>
          <w:szCs w:val="20"/>
        </w:rPr>
        <w:t>proprietary</w:t>
      </w:r>
      <w:r>
        <w:rPr>
          <w:rFonts w:hint="eastAsia" w:eastAsia="Times New Roman"/>
          <w:sz w:val="20"/>
          <w:szCs w:val="20"/>
          <w:lang w:val="en-GB"/>
        </w:rPr>
        <w:t xml:space="preserve"> information of the gNB or UE, which may be difficult to be </w:t>
      </w:r>
      <w:r>
        <w:rPr>
          <w:rFonts w:hint="eastAsia"/>
          <w:sz w:val="20"/>
          <w:szCs w:val="20"/>
          <w:lang w:val="en-US" w:eastAsia="zh-CN"/>
        </w:rPr>
        <w:t xml:space="preserve">obtained </w:t>
      </w:r>
      <w:r>
        <w:rPr>
          <w:rFonts w:hint="eastAsia" w:eastAsia="Times New Roman"/>
          <w:sz w:val="20"/>
          <w:szCs w:val="20"/>
          <w:lang w:val="en-GB"/>
        </w:rPr>
        <w:t>and shared with another vendor. Therefore, focusing the discussion on Alt.1 and Alt.4 would be a good starting point.</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2</w:t>
      </w:r>
      <w:r>
        <w:rPr>
          <w:rFonts w:hint="eastAsia" w:eastAsia="Times New Roman"/>
          <w:b/>
          <w:bCs/>
          <w:i/>
          <w:iCs/>
          <w:sz w:val="20"/>
          <w:szCs w:val="20"/>
          <w:lang w:val="en-GB"/>
        </w:rPr>
        <w:t>:</w:t>
      </w:r>
      <w:r>
        <w:rPr>
          <w:rFonts w:hint="eastAsia" w:eastAsia="Times New Roman"/>
          <w:i/>
          <w:iCs/>
          <w:sz w:val="20"/>
          <w:szCs w:val="20"/>
          <w:lang w:val="en-GB"/>
        </w:rPr>
        <w:t xml:space="preserve"> Much of the assistan</w:t>
      </w:r>
      <w:r>
        <w:rPr>
          <w:rFonts w:hint="eastAsia"/>
          <w:i/>
          <w:iCs/>
          <w:sz w:val="20"/>
          <w:szCs w:val="20"/>
        </w:rPr>
        <w:t>ce</w:t>
      </w:r>
      <w:r>
        <w:rPr>
          <w:rFonts w:hint="eastAsia" w:eastAsia="Times New Roman"/>
          <w:i/>
          <w:iCs/>
          <w:sz w:val="20"/>
          <w:szCs w:val="20"/>
          <w:lang w:val="en-GB"/>
        </w:rPr>
        <w:t xml:space="preserve"> information mentioned in Alt.2 is proprietary information of the gNB or UE, which may be difficult to be </w:t>
      </w:r>
      <w:r>
        <w:rPr>
          <w:rFonts w:eastAsia="Times New Roman"/>
          <w:i/>
          <w:iCs/>
          <w:sz w:val="20"/>
          <w:szCs w:val="20"/>
          <w:lang w:val="en-GB"/>
        </w:rPr>
        <w:t>obtained</w:t>
      </w:r>
      <w:r>
        <w:rPr>
          <w:rFonts w:hint="eastAsia"/>
          <w:i/>
          <w:iCs/>
          <w:sz w:val="20"/>
          <w:szCs w:val="20"/>
        </w:rPr>
        <w:t xml:space="preserve"> </w:t>
      </w:r>
      <w:r>
        <w:rPr>
          <w:rFonts w:hint="eastAsia" w:eastAsia="Times New Roman"/>
          <w:i/>
          <w:iCs/>
          <w:sz w:val="20"/>
          <w:szCs w:val="20"/>
          <w:lang w:val="en-GB"/>
        </w:rPr>
        <w:t xml:space="preserve">and shared with </w:t>
      </w:r>
      <w:r>
        <w:rPr>
          <w:rFonts w:hint="eastAsia"/>
          <w:i/>
          <w:iCs/>
          <w:sz w:val="20"/>
          <w:szCs w:val="20"/>
        </w:rPr>
        <w:t>another vendor</w:t>
      </w:r>
      <w:r>
        <w:rPr>
          <w:rFonts w:hint="eastAsia" w:eastAsia="Times New Roman"/>
          <w:i/>
          <w:iCs/>
          <w:sz w:val="20"/>
          <w:szCs w:val="20"/>
          <w:lang w:val="en-GB"/>
        </w:rPr>
        <w:t xml:space="preserve">. </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rPr>
        <w:t>4</w:t>
      </w:r>
      <w:r>
        <w:rPr>
          <w:rFonts w:hint="eastAsia" w:eastAsia="Times New Roman"/>
          <w:b/>
          <w:bCs/>
          <w:i/>
          <w:iCs/>
          <w:sz w:val="20"/>
          <w:szCs w:val="20"/>
          <w:lang w:val="en-GB"/>
        </w:rPr>
        <w:t>:</w:t>
      </w:r>
      <w:r>
        <w:rPr>
          <w:rFonts w:hint="eastAsia" w:eastAsia="Times New Roman"/>
          <w:i/>
          <w:iCs/>
          <w:sz w:val="20"/>
          <w:szCs w:val="20"/>
          <w:lang w:val="en-GB"/>
        </w:rPr>
        <w:t xml:space="preserve"> Focusing the discussion on Alt.1 and Alt.4 with only L1-RSRP measurement and the corresponding beam ID being taken into account for the AI input would be a good starting point.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output: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The following proposal was proposed in RAN1#109-e, which presented a list of detailed output alternatives for further study.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autoSpaceDE w:val="0"/>
              <w:autoSpaceDN w:val="0"/>
              <w:adjustRightInd w:val="0"/>
              <w:snapToGrid w:val="0"/>
              <w:spacing w:before="72" w:beforeLines="30" w:after="72" w:afterLines="30" w:line="288" w:lineRule="auto"/>
              <w:jc w:val="both"/>
              <w:rPr>
                <w:sz w:val="20"/>
                <w:szCs w:val="20"/>
              </w:rPr>
            </w:pPr>
            <w:r>
              <w:rPr>
                <w:sz w:val="20"/>
                <w:szCs w:val="20"/>
              </w:rPr>
              <w:t>Regarding the sub use case BM-Case1, further study the following alternatives for AI/ML output:</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 xml:space="preserve">Alt.1: Tx and/or Rx Beam ID(s) and/or the predicted L1-RSRP of the predicted Top-N1 DL Tx and/or Rx beams </w:t>
            </w:r>
          </w:p>
          <w:p>
            <w:pPr>
              <w:numPr>
                <w:ilvl w:val="1"/>
                <w:numId w:val="7"/>
              </w:numPr>
              <w:autoSpaceDE w:val="0"/>
              <w:autoSpaceDN w:val="0"/>
              <w:adjustRightInd w:val="0"/>
              <w:snapToGrid w:val="0"/>
              <w:spacing w:before="72" w:beforeLines="30" w:after="72" w:afterLines="30" w:line="288" w:lineRule="auto"/>
              <w:jc w:val="both"/>
              <w:rPr>
                <w:sz w:val="20"/>
                <w:szCs w:val="20"/>
              </w:rPr>
            </w:pPr>
            <w:r>
              <w:rPr>
                <w:sz w:val="20"/>
                <w:szCs w:val="20"/>
              </w:rPr>
              <w:t>FFS: how to select Top-N1 DL Tx and/or Rx beams (e.g., L1-RSRP higher than a threshold,</w:t>
            </w:r>
            <w:r>
              <w:rPr>
                <w:sz w:val="20"/>
                <w:szCs w:val="20"/>
                <w:lang w:eastAsia="ja-JP"/>
              </w:rPr>
              <w:t xml:space="preserve"> a sum probability of being the best beams higher than a threshold.)</w:t>
            </w:r>
            <w:r>
              <w:rPr>
                <w:sz w:val="20"/>
                <w:szCs w:val="20"/>
              </w:rPr>
              <w:t xml:space="preserve">  </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 xml:space="preserve">Alt.2: Tx and/or Rx Beam ID(s) of the predicted Top-N1 DL Tx and/or Rx beams and other information </w:t>
            </w:r>
          </w:p>
          <w:p>
            <w:pPr>
              <w:numPr>
                <w:ilvl w:val="1"/>
                <w:numId w:val="7"/>
              </w:numPr>
              <w:autoSpaceDE w:val="0"/>
              <w:autoSpaceDN w:val="0"/>
              <w:adjustRightInd w:val="0"/>
              <w:snapToGrid w:val="0"/>
              <w:spacing w:before="72" w:beforeLines="30" w:after="72" w:afterLines="30" w:line="288" w:lineRule="auto"/>
              <w:jc w:val="both"/>
              <w:rPr>
                <w:sz w:val="20"/>
                <w:szCs w:val="20"/>
              </w:rPr>
            </w:pPr>
            <w:r>
              <w:rPr>
                <w:sz w:val="20"/>
                <w:szCs w:val="20"/>
              </w:rPr>
              <w:t>FFS: other information (e.g., probability for the beam to be the best beam, an updated set B)</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Alt.3: The predicted RSRP corresponding to the expected Tx and/or Rx beam direction which is input to the model.</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Alt.4: Tx and/or Rx Beam angle(s) and the predicted L1-RSRP (optional) of the predicted Top-N1 DL Tx and/or Rx beams</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 xml:space="preserve">Note1: It is up to companies to provide other alternative(s) </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Note2: Beam ID is only used for discussion purpose</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Note3: All the outputs are “nominal” and only for discussion purpose</w:t>
            </w:r>
          </w:p>
          <w:p>
            <w:pPr>
              <w:numPr>
                <w:ilvl w:val="0"/>
                <w:numId w:val="7"/>
              </w:numPr>
              <w:autoSpaceDE w:val="0"/>
              <w:autoSpaceDN w:val="0"/>
              <w:adjustRightInd w:val="0"/>
              <w:snapToGrid w:val="0"/>
              <w:spacing w:before="72" w:beforeLines="30" w:after="72" w:afterLines="30" w:line="288" w:lineRule="auto"/>
              <w:jc w:val="both"/>
              <w:rPr>
                <w:sz w:val="20"/>
                <w:szCs w:val="20"/>
              </w:rPr>
            </w:pPr>
            <w:r>
              <w:rPr>
                <w:sz w:val="20"/>
                <w:szCs w:val="20"/>
              </w:rPr>
              <w:t xml:space="preserve">Note4: Values of N1 is up to each company. </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For beam management, the feedback information includes SSBRI/CRI and L1-RSRP</w:t>
      </w:r>
      <w:r>
        <w:rPr>
          <w:rFonts w:hint="eastAsia"/>
          <w:sz w:val="20"/>
          <w:szCs w:val="20"/>
        </w:rPr>
        <w:t xml:space="preserve"> in current specification</w:t>
      </w:r>
      <w:r>
        <w:rPr>
          <w:rFonts w:hint="eastAsia" w:eastAsia="Times New Roman"/>
          <w:sz w:val="20"/>
          <w:szCs w:val="20"/>
          <w:lang w:val="en-GB"/>
        </w:rPr>
        <w:t xml:space="preserve">, which represent the beam indicator and beam quality information, respectively. In Alt.1, only the beam ID and the predicted RSRP are considered as the AI output. Therefore, Alt.1 can provide better standard compatibility and less additional standardization effort. Moreover, if the deployed AI model can predict the beam quality information of all beams, the beam ID can be obtained implicitly from the data structure of the model output vector or matrix, thus avoiding </w:t>
      </w:r>
      <w:r>
        <w:rPr>
          <w:rFonts w:eastAsia="Times New Roman"/>
          <w:sz w:val="20"/>
          <w:szCs w:val="20"/>
          <w:lang w:val="en-GB"/>
        </w:rPr>
        <w:t xml:space="preserve">to </w:t>
      </w:r>
      <w:r>
        <w:rPr>
          <w:rFonts w:hint="eastAsia" w:eastAsia="Times New Roman"/>
          <w:sz w:val="20"/>
          <w:szCs w:val="20"/>
          <w:lang w:val="en-GB"/>
        </w:rPr>
        <w:t>explicitly defin</w:t>
      </w:r>
      <w:r>
        <w:rPr>
          <w:rFonts w:eastAsia="Times New Roman"/>
          <w:sz w:val="20"/>
          <w:szCs w:val="20"/>
          <w:lang w:val="en-GB"/>
        </w:rPr>
        <w:t>e</w:t>
      </w:r>
      <w:r>
        <w:rPr>
          <w:rFonts w:hint="eastAsia" w:eastAsia="Times New Roman"/>
          <w:sz w:val="20"/>
          <w:szCs w:val="20"/>
          <w:lang w:val="en-GB"/>
        </w:rPr>
        <w:t xml:space="preserve"> the concept of beam ID.</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In Alt.3 and Alt.4, the beam direction or beam angle is included as part of the model output. Considering that the AI output and AI input are closely related to each other, especially for the super-resolution technology based spatial domain beam prediction. Alt.3 and Alt.4 typically imply that the beam direction, beam Angle, etc. of the transmit or receive beam are modeled as part of the model input. However, as mentioned above, the beam direction or beam angle are proprietary information of the gNB or UE, which can hardly be revealed to </w:t>
      </w:r>
      <w:r>
        <w:rPr>
          <w:rFonts w:hint="eastAsia"/>
          <w:sz w:val="20"/>
          <w:szCs w:val="20"/>
        </w:rPr>
        <w:t>another vendor</w:t>
      </w:r>
      <w:r>
        <w:rPr>
          <w:rFonts w:hint="eastAsia" w:eastAsia="Times New Roman"/>
          <w:sz w:val="20"/>
          <w:szCs w:val="20"/>
          <w:lang w:val="en-GB"/>
        </w:rPr>
        <w:t>. In addition, beam indication is performed through the configured TCI state. It is also unclear how to establish a corresponding relationship between the output beam direction or angle and the TCI state.</w:t>
      </w:r>
    </w:p>
    <w:p>
      <w:pPr>
        <w:snapToGrid w:val="0"/>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Observation</w:t>
      </w:r>
      <w:r>
        <w:rPr>
          <w:rFonts w:hint="eastAsia" w:eastAsia="Times New Roman"/>
          <w:b/>
          <w:bCs/>
          <w:i/>
          <w:iCs/>
          <w:sz w:val="20"/>
          <w:szCs w:val="20"/>
          <w:lang w:val="en-GB"/>
        </w:rPr>
        <w:t xml:space="preserve"> </w:t>
      </w:r>
      <w:r>
        <w:rPr>
          <w:rFonts w:hint="eastAsia"/>
          <w:b/>
          <w:bCs/>
          <w:i/>
          <w:iCs/>
          <w:sz w:val="20"/>
          <w:szCs w:val="20"/>
          <w:lang w:val="en-US" w:eastAsia="zh-CN"/>
        </w:rPr>
        <w:t>3</w:t>
      </w:r>
      <w:r>
        <w:rPr>
          <w:rFonts w:hint="eastAsia" w:eastAsia="Times New Roman"/>
          <w:b/>
          <w:bCs/>
          <w:i/>
          <w:iCs/>
          <w:sz w:val="20"/>
          <w:szCs w:val="20"/>
          <w:lang w:val="en-GB"/>
        </w:rPr>
        <w:t xml:space="preserve">: </w:t>
      </w:r>
      <w:r>
        <w:rPr>
          <w:rFonts w:hint="eastAsia" w:eastAsia="Times New Roman"/>
          <w:i/>
          <w:iCs/>
          <w:sz w:val="20"/>
          <w:szCs w:val="20"/>
          <w:lang w:val="en-GB"/>
        </w:rPr>
        <w:t>Alt.1 can provide better standard compatibility and less additional standardization effort</w:t>
      </w:r>
      <w:r>
        <w:rPr>
          <w:rFonts w:hint="eastAsia"/>
          <w:i/>
          <w:iCs/>
          <w:sz w:val="20"/>
          <w:szCs w:val="20"/>
        </w:rPr>
        <w:t xml:space="preserve"> since </w:t>
      </w:r>
      <w:r>
        <w:rPr>
          <w:rFonts w:hint="eastAsia" w:eastAsia="Times New Roman"/>
          <w:i/>
          <w:iCs/>
          <w:sz w:val="20"/>
          <w:szCs w:val="20"/>
          <w:lang w:val="en-GB"/>
        </w:rPr>
        <w:t>only beam ID and the predicted RSRP are considered as the AI output.</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5</w:t>
      </w:r>
      <w:r>
        <w:rPr>
          <w:rFonts w:hint="eastAsia" w:eastAsia="Times New Roman"/>
          <w:b/>
          <w:bCs/>
          <w:i/>
          <w:iCs/>
          <w:sz w:val="20"/>
          <w:szCs w:val="20"/>
          <w:lang w:val="en-GB"/>
        </w:rPr>
        <w:t>:</w:t>
      </w:r>
      <w:r>
        <w:rPr>
          <w:rFonts w:hint="eastAsia"/>
          <w:b/>
          <w:bCs/>
          <w:i/>
          <w:iCs/>
          <w:sz w:val="20"/>
          <w:szCs w:val="20"/>
          <w:lang w:val="en-US" w:eastAsia="zh-CN"/>
        </w:rPr>
        <w:t xml:space="preserve"> </w:t>
      </w:r>
      <w:r>
        <w:rPr>
          <w:rFonts w:hint="eastAsia" w:eastAsia="Times New Roman"/>
          <w:i/>
          <w:iCs/>
          <w:sz w:val="20"/>
          <w:szCs w:val="20"/>
          <w:lang w:val="en-GB"/>
        </w:rPr>
        <w:t>Focusing the discussion on Alt.1 and Alt.</w:t>
      </w:r>
      <w:r>
        <w:rPr>
          <w:rFonts w:eastAsia="Times New Roman"/>
          <w:i/>
          <w:iCs/>
          <w:sz w:val="20"/>
          <w:szCs w:val="20"/>
          <w:lang w:val="en-GB"/>
        </w:rPr>
        <w:t>2</w:t>
      </w:r>
      <w:r>
        <w:rPr>
          <w:rFonts w:hint="eastAsia" w:eastAsia="Times New Roman"/>
          <w:i/>
          <w:iCs/>
          <w:sz w:val="20"/>
          <w:szCs w:val="20"/>
          <w:lang w:val="en-GB"/>
        </w:rPr>
        <w:t xml:space="preserve"> as the starting point.</w:t>
      </w:r>
      <w:r>
        <w:rPr>
          <w:rFonts w:hint="eastAsia"/>
          <w:i/>
          <w:iCs/>
          <w:sz w:val="20"/>
          <w:szCs w:val="20"/>
          <w:lang w:val="en-US" w:eastAsia="zh-CN"/>
        </w:rPr>
        <w:t xml:space="preserve"> </w:t>
      </w:r>
      <w:r>
        <w:rPr>
          <w:rFonts w:hint="eastAsia" w:eastAsia="Times New Roman"/>
          <w:i/>
          <w:iCs/>
          <w:sz w:val="20"/>
          <w:szCs w:val="20"/>
          <w:lang w:val="en-GB"/>
        </w:rPr>
        <w:t>The corresponding relationship between the output beam direction or angle and the TCI state needs to be further studied if Alt.3 or Alt.4 is adopted as the AI output.</w:t>
      </w:r>
    </w:p>
    <w:p>
      <w:pPr>
        <w:numPr>
          <w:ilvl w:val="1"/>
          <w:numId w:val="5"/>
        </w:numPr>
        <w:tabs>
          <w:tab w:val="clear" w:pos="576"/>
        </w:tabs>
        <w:snapToGrid w:val="0"/>
        <w:spacing w:before="10" w:after="120" w:afterLines="50" w:line="288" w:lineRule="auto"/>
        <w:ind w:left="567" w:hanging="567"/>
        <w:jc w:val="both"/>
        <w:outlineLvl w:val="1"/>
        <w:rPr>
          <w:b/>
          <w:sz w:val="24"/>
          <w:szCs w:val="20"/>
        </w:rPr>
      </w:pPr>
      <w:r>
        <w:rPr>
          <w:b/>
          <w:sz w:val="24"/>
          <w:szCs w:val="20"/>
        </w:rPr>
        <w:t>Temporal DL beam prediction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Temporal DL beam prediction aims at predicting future beam quality based on historic measurement results. Just like the spatial-domain beam prediction, we will further elaborate our views on beam set construction, AI input, and AI output respectively in the following.</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Beam set constructions:</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In RAN1#109-e</w:t>
      </w:r>
      <w:r>
        <w:rPr>
          <w:rFonts w:hint="eastAsia"/>
          <w:sz w:val="20"/>
          <w:szCs w:val="20"/>
        </w:rPr>
        <w:t>,</w:t>
      </w:r>
      <w:r>
        <w:rPr>
          <w:rFonts w:hint="eastAsia" w:eastAsia="Times New Roman"/>
          <w:sz w:val="20"/>
          <w:szCs w:val="20"/>
          <w:lang w:val="en-GB"/>
        </w:rPr>
        <w:t xml:space="preserve"> most of the companies thought that there was no need to define the connection between the beam set for prediction and the beam set for measurement. However, some companies mentioned that spatial-temporal beam prediction should not be precluded with the example of using multiple past SSB measurement information to predict best CSI-RS ID, as an illustrative use case. Therefore, the following conclusion was obtained for further study.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72" w:beforeLines="30" w:after="72" w:afterLines="30" w:line="288" w:lineRule="auto"/>
              <w:rPr>
                <w:sz w:val="20"/>
                <w:szCs w:val="20"/>
              </w:rPr>
            </w:pPr>
            <w:r>
              <w:rPr>
                <w:sz w:val="20"/>
                <w:szCs w:val="20"/>
              </w:rPr>
              <w:t>For the sub use case BM-Case2, further study the following alternatives with potential down-selection:</w:t>
            </w:r>
          </w:p>
          <w:p>
            <w:pPr>
              <w:numPr>
                <w:ilvl w:val="0"/>
                <w:numId w:val="6"/>
              </w:numPr>
              <w:snapToGrid w:val="0"/>
              <w:spacing w:before="72" w:beforeLines="30" w:after="72" w:afterLines="30" w:line="288" w:lineRule="auto"/>
              <w:rPr>
                <w:sz w:val="20"/>
                <w:szCs w:val="20"/>
              </w:rPr>
            </w:pPr>
            <w:r>
              <w:rPr>
                <w:sz w:val="20"/>
                <w:szCs w:val="20"/>
              </w:rPr>
              <w:t>Alt.1: Set A and Set B are different (e.g. Set A consists of narrow beams and Set B consists of wide beams)</w:t>
            </w:r>
          </w:p>
          <w:p>
            <w:pPr>
              <w:numPr>
                <w:ilvl w:val="1"/>
                <w:numId w:val="6"/>
              </w:numPr>
              <w:snapToGrid w:val="0"/>
              <w:spacing w:before="72" w:beforeLines="30" w:after="72" w:afterLines="30" w:line="288" w:lineRule="auto"/>
              <w:rPr>
                <w:sz w:val="20"/>
                <w:szCs w:val="20"/>
              </w:rPr>
            </w:pPr>
            <w:r>
              <w:rPr>
                <w:sz w:val="20"/>
                <w:szCs w:val="20"/>
              </w:rPr>
              <w:t>FFS: QCL relation between beams in Set A and beams in Set B</w:t>
            </w:r>
          </w:p>
          <w:p>
            <w:pPr>
              <w:numPr>
                <w:ilvl w:val="0"/>
                <w:numId w:val="6"/>
              </w:numPr>
              <w:snapToGrid w:val="0"/>
              <w:spacing w:before="72" w:beforeLines="30" w:after="72" w:afterLines="30" w:line="288" w:lineRule="auto"/>
              <w:rPr>
                <w:sz w:val="20"/>
                <w:szCs w:val="20"/>
              </w:rPr>
            </w:pPr>
            <w:r>
              <w:rPr>
                <w:sz w:val="20"/>
                <w:szCs w:val="20"/>
              </w:rPr>
              <w:t>Alt.2: Set B is a subset of Set A (Set A and Set B are not the same)</w:t>
            </w:r>
          </w:p>
          <w:p>
            <w:pPr>
              <w:numPr>
                <w:ilvl w:val="1"/>
                <w:numId w:val="6"/>
              </w:numPr>
              <w:snapToGrid w:val="0"/>
              <w:spacing w:before="72" w:beforeLines="30" w:after="72" w:afterLines="30" w:line="288" w:lineRule="auto"/>
              <w:rPr>
                <w:sz w:val="20"/>
                <w:szCs w:val="20"/>
              </w:rPr>
            </w:pPr>
            <w:r>
              <w:rPr>
                <w:sz w:val="20"/>
                <w:szCs w:val="20"/>
              </w:rPr>
              <w:t>FFS: how to determine Set B out of the beams in Set A (e.g., fixed pattern, random pattern, …)</w:t>
            </w:r>
          </w:p>
          <w:p>
            <w:pPr>
              <w:numPr>
                <w:ilvl w:val="0"/>
                <w:numId w:val="6"/>
              </w:numPr>
              <w:snapToGrid w:val="0"/>
              <w:spacing w:before="72" w:beforeLines="30" w:after="72" w:afterLines="30" w:line="288" w:lineRule="auto"/>
              <w:rPr>
                <w:sz w:val="20"/>
                <w:szCs w:val="20"/>
              </w:rPr>
            </w:pPr>
            <w:r>
              <w:rPr>
                <w:sz w:val="20"/>
                <w:szCs w:val="20"/>
              </w:rPr>
              <w:t>Alt.3: Set A and Set B are the same</w:t>
            </w:r>
          </w:p>
          <w:p>
            <w:pPr>
              <w:numPr>
                <w:ilvl w:val="0"/>
                <w:numId w:val="6"/>
              </w:numPr>
              <w:snapToGrid w:val="0"/>
              <w:spacing w:before="72" w:beforeLines="30" w:after="72" w:afterLines="30" w:line="288" w:lineRule="auto"/>
              <w:rPr>
                <w:sz w:val="20"/>
                <w:szCs w:val="20"/>
              </w:rPr>
            </w:pPr>
            <w:r>
              <w:rPr>
                <w:sz w:val="20"/>
                <w:szCs w:val="20"/>
              </w:rPr>
              <w:t>Note1: Predicted beam(s) are selected from Set A and measured beams used as input are selected from Set B.</w:t>
            </w:r>
          </w:p>
          <w:p>
            <w:pPr>
              <w:numPr>
                <w:ilvl w:val="0"/>
                <w:numId w:val="6"/>
              </w:numPr>
              <w:snapToGrid w:val="0"/>
              <w:spacing w:before="72" w:beforeLines="30" w:after="72" w:afterLines="30" w:line="288" w:lineRule="auto"/>
              <w:rPr>
                <w:sz w:val="20"/>
                <w:szCs w:val="20"/>
              </w:rPr>
            </w:pPr>
            <w:r>
              <w:rPr>
                <w:sz w:val="20"/>
                <w:szCs w:val="20"/>
              </w:rPr>
              <w:t>Note2: It is up to companies to provide other alternative(s)</w:t>
            </w:r>
          </w:p>
          <w:p>
            <w:pPr>
              <w:numPr>
                <w:ilvl w:val="0"/>
                <w:numId w:val="6"/>
              </w:numPr>
              <w:snapToGrid w:val="0"/>
              <w:spacing w:before="72" w:beforeLines="30" w:after="72" w:afterLines="30" w:line="288" w:lineRule="auto"/>
              <w:rPr>
                <w:b/>
                <w:sz w:val="20"/>
                <w:szCs w:val="20"/>
              </w:rPr>
            </w:pPr>
            <w:r>
              <w:rPr>
                <w:sz w:val="20"/>
                <w:szCs w:val="20"/>
              </w:rPr>
              <w:t>Note3: The narrow and wide beam terminology is for SI discussion only and have no specification impact</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For Alt.1 and Alt.2, the beam sets used for measurement and prediction are different in terms of beam widths and number of beams. Essentially, the temporal beam prediction in Alt.1 and Alt.2 mixes two different AI models, i.e., an estimation model and a prediction model. The estimation model aims at inferring high-resolution beam quality information based on low-resolution beam measurement information. The prediction model is utilized to infer beam quality information of future time instances based on measurement results </w:t>
      </w:r>
      <w:r>
        <w:rPr>
          <w:rFonts w:hint="eastAsia"/>
          <w:sz w:val="20"/>
          <w:szCs w:val="20"/>
        </w:rPr>
        <w:t xml:space="preserve">of </w:t>
      </w:r>
      <w:r>
        <w:rPr>
          <w:rFonts w:hint="eastAsia" w:eastAsia="Times New Roman"/>
          <w:sz w:val="20"/>
          <w:szCs w:val="20"/>
          <w:lang w:val="en-GB"/>
        </w:rPr>
        <w:t xml:space="preserve">past time instances. Wherein, the beam set for measurement of each past measurement instance can be obtained based on a fixed or random beam pattern, or even by learning the beam space information at the last moment. </w:t>
      </w:r>
      <w:r>
        <w:rPr>
          <w:rFonts w:hint="eastAsia"/>
          <w:sz w:val="20"/>
          <w:szCs w:val="20"/>
        </w:rPr>
        <w:t>T</w:t>
      </w:r>
      <w:r>
        <w:rPr>
          <w:rFonts w:hint="eastAsia" w:eastAsia="Times New Roman"/>
          <w:sz w:val="20"/>
          <w:szCs w:val="20"/>
          <w:lang w:val="en-GB"/>
        </w:rPr>
        <w:t>he specific construction of the beam set for measurement will have a great impact on the beam training overhead, model complexity and inference performance.</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Regarding Alt.3, the beam set for measurement is the same as the beam set for prediction. Deep learning algorithms such as RNN can be used to extract the time correlation information of the channel to predict the future beam quality. Obviously, Alt.3 is the most straightforward and easiest way to implement the temporal beam prediction compared to the other alternatives. Compared with Alt.3, the beam prediction method in Alt.1 and Alt.2 can further reduce the RS overhead for beam measurement. However, in Alt.1 and Alt.2, the selection of the beam set </w:t>
      </w:r>
      <w:r>
        <w:rPr>
          <w:rFonts w:hint="eastAsia"/>
          <w:sz w:val="20"/>
          <w:szCs w:val="20"/>
        </w:rPr>
        <w:t xml:space="preserve">of </w:t>
      </w:r>
      <w:r>
        <w:rPr>
          <w:rFonts w:hint="eastAsia" w:eastAsia="Times New Roman"/>
          <w:sz w:val="20"/>
          <w:szCs w:val="20"/>
          <w:lang w:val="en-GB"/>
        </w:rPr>
        <w:t xml:space="preserve">each past measurement instance is ambiguous and difficult to be aligned across companies. Besides, the difference between the beam set for measurement and the beam set for prediction (like wide beam set B and narrow beam set A) may make it hard for beam reporting and indication. </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w:t>
      </w:r>
      <w:r>
        <w:rPr>
          <w:rFonts w:hint="eastAsia"/>
          <w:sz w:val="20"/>
          <w:szCs w:val="20"/>
        </w:rPr>
        <w:t xml:space="preserve"> in </w:t>
      </w:r>
      <w:r>
        <w:rPr>
          <w:rFonts w:hint="eastAsia" w:eastAsia="Times New Roman"/>
          <w:sz w:val="20"/>
          <w:szCs w:val="20"/>
          <w:lang w:val="en-GB"/>
        </w:rPr>
        <w:t>Alt.1 and Alt.2. Thus, Alt.3 can be used as a benchmark, while Alt.1 and Alt.2 are deferred until the evaluation of the spatial domain beam prediction in BM-Case1 has achieved sufficient progress.</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rPr>
        <w:t>4</w:t>
      </w:r>
      <w:r>
        <w:rPr>
          <w:rFonts w:hint="eastAsia" w:eastAsia="Times New Roman"/>
          <w:b/>
          <w:bCs/>
          <w:i/>
          <w:iCs/>
          <w:sz w:val="20"/>
          <w:szCs w:val="20"/>
          <w:lang w:val="en-GB"/>
        </w:rPr>
        <w:t xml:space="preserve">: </w:t>
      </w:r>
      <w:r>
        <w:rPr>
          <w:rFonts w:hint="eastAsia" w:eastAsia="Times New Roman"/>
          <w:i/>
          <w:iCs/>
          <w:sz w:val="20"/>
          <w:szCs w:val="20"/>
          <w:lang w:val="en-GB"/>
        </w:rPr>
        <w:t>The specific construction of the beam set for measurement will have a great impact on the beam training overhead, model complexity and inference performance.</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rPr>
        <w:t>5</w:t>
      </w:r>
      <w:r>
        <w:rPr>
          <w:rFonts w:hint="eastAsia" w:eastAsia="Times New Roman"/>
          <w:b/>
          <w:bCs/>
          <w:i/>
          <w:iCs/>
          <w:sz w:val="20"/>
          <w:szCs w:val="20"/>
          <w:lang w:val="en-GB"/>
        </w:rPr>
        <w:t xml:space="preserve">: </w:t>
      </w:r>
      <w:r>
        <w:rPr>
          <w:rFonts w:hint="eastAsia" w:eastAsia="Times New Roman"/>
          <w:i/>
          <w:iCs/>
          <w:sz w:val="20"/>
          <w:szCs w:val="20"/>
          <w:lang w:val="en-GB"/>
        </w:rPr>
        <w:t>If the beam set for measurement and the beam set for prediction are different, the spatial domain beam prediction algorithm may be an essential precondition for the temporal beam prediction study.</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6</w:t>
      </w:r>
      <w:r>
        <w:rPr>
          <w:rFonts w:hint="eastAsia" w:eastAsia="Times New Roman"/>
          <w:b/>
          <w:bCs/>
          <w:i/>
          <w:iCs/>
          <w:sz w:val="20"/>
          <w:szCs w:val="20"/>
          <w:lang w:val="en-GB"/>
        </w:rPr>
        <w:t xml:space="preserve">: </w:t>
      </w:r>
      <w:r>
        <w:rPr>
          <w:rFonts w:hint="eastAsia" w:eastAsia="Times New Roman"/>
          <w:i/>
          <w:iCs/>
          <w:sz w:val="20"/>
          <w:szCs w:val="20"/>
          <w:lang w:val="en-GB"/>
        </w:rPr>
        <w:t>Regarding the beam set construction, Alt.3 can be used as a benchmark, while Alt.1 and Alt.2 are deferred until the evaluation of the spatial domain beam prediction in BM-Case1 has achieved sufficient prog</w:t>
      </w:r>
      <w:r>
        <w:rPr>
          <w:rFonts w:hint="eastAsia" w:eastAsia="Times New Roman"/>
          <w:i/>
          <w:iCs/>
          <w:sz w:val="20"/>
          <w:szCs w:val="20"/>
        </w:rPr>
        <w:t>ress.</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input and output: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Regarding the AI/ML input and output for the temporal beam prediction, many kinds of assistance information and different alternatives have been proposed in RAN1#109-e and up to companies to explore all possible options. As with the spatial domain beam prediction above, focusing the AI input and output on the measured RSRP and/or beam ID would be a good starting point. The measured RSRP and beam ID represent the beam quality and beam indicator, respectively, where the beam ID can be implicitly indicated by the RS index or TCI state. In this way, the standardization workload and AI model complexity would be relatively low. Incorporating assistance information such as positioning-related measurements as part of AI input may have potential to improve the beam prediction accuracy, depending on further evaluation results. Meanwhile, as mentioned above, some assistance information is </w:t>
      </w:r>
      <w:r>
        <w:rPr>
          <w:rFonts w:hint="eastAsia"/>
          <w:sz w:val="20"/>
          <w:szCs w:val="20"/>
        </w:rPr>
        <w:t>proprietary</w:t>
      </w:r>
      <w:r>
        <w:rPr>
          <w:rFonts w:hint="eastAsia" w:eastAsia="Times New Roman"/>
          <w:sz w:val="20"/>
          <w:szCs w:val="20"/>
          <w:lang w:val="en-GB"/>
        </w:rPr>
        <w:t xml:space="preserve">, which is difficult to be shared with </w:t>
      </w:r>
      <w:r>
        <w:rPr>
          <w:rFonts w:hint="eastAsia"/>
          <w:sz w:val="20"/>
          <w:szCs w:val="20"/>
        </w:rPr>
        <w:t>another vendor</w:t>
      </w:r>
      <w:r>
        <w:rPr>
          <w:rFonts w:hint="eastAsia" w:eastAsia="Times New Roman"/>
          <w:sz w:val="20"/>
          <w:szCs w:val="20"/>
          <w:lang w:val="en-GB"/>
        </w:rPr>
        <w:t>. Therefore, for further performance evaluation and to reduce the standardization workload, the L1-RSRP measurement based on set B can be used as the AI input and the predicted L1-RSRP of DL Tx and/or Rx beams can be used as the AI output.</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7</w:t>
      </w:r>
      <w:r>
        <w:rPr>
          <w:rFonts w:hint="eastAsia" w:eastAsia="Times New Roman"/>
          <w:b/>
          <w:bCs/>
          <w:i/>
          <w:iCs/>
          <w:sz w:val="20"/>
          <w:szCs w:val="20"/>
          <w:lang w:val="en-GB"/>
        </w:rPr>
        <w:t xml:space="preserve">: </w:t>
      </w:r>
      <w:r>
        <w:rPr>
          <w:rFonts w:hint="eastAsia" w:eastAsia="Times New Roman"/>
          <w:i/>
          <w:iCs/>
          <w:sz w:val="20"/>
          <w:szCs w:val="20"/>
          <w:lang w:val="en-GB"/>
        </w:rPr>
        <w:t>For temporal domain beam prediction, focusing the AI input and output on measured RSRP and/or beam ID would be a good starting point, in which case the standardization workload and AI model complexity would be relatively low.</w:t>
      </w: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Potential specification impacts</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potential spec impacts, it is heavily dependent on the specific sub use cases. Based on the above discussion of the selected sub use cases, we will elaborate our initial view on potential specification enhancements in terms of beam reporting, resource configuration, and assistance information exchange, respectively.</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Enhanced beam reporting</w:t>
      </w:r>
    </w:p>
    <w:p>
      <w:p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NW-side beam prediction AI/ML models: </w:t>
      </w:r>
      <w:r>
        <w:rPr>
          <w:rFonts w:eastAsia="Times New Roman"/>
          <w:sz w:val="20"/>
          <w:szCs w:val="20"/>
        </w:rPr>
        <w:t xml:space="preserve">If the </w:t>
      </w:r>
      <w:r>
        <w:rPr>
          <w:rFonts w:hint="eastAsia" w:eastAsia="Times New Roman"/>
          <w:sz w:val="20"/>
          <w:szCs w:val="20"/>
        </w:rPr>
        <w:t xml:space="preserve">AI </w:t>
      </w:r>
      <w:r>
        <w:rPr>
          <w:rFonts w:eastAsia="Times New Roman"/>
          <w:sz w:val="20"/>
          <w:szCs w:val="20"/>
        </w:rPr>
        <w:t xml:space="preserve">model inference </w:t>
      </w:r>
      <w:r>
        <w:rPr>
          <w:rFonts w:hint="eastAsia" w:eastAsia="Times New Roman"/>
          <w:sz w:val="20"/>
          <w:szCs w:val="20"/>
        </w:rPr>
        <w:t xml:space="preserve">is </w:t>
      </w:r>
      <w:r>
        <w:rPr>
          <w:rFonts w:eastAsia="Times New Roman"/>
          <w:sz w:val="20"/>
          <w:szCs w:val="20"/>
        </w:rPr>
        <w:t xml:space="preserve">carried out at the gNB side, sufficient beam measurement results are required as model input. To this end, UE needs to report a large amount of beam measurement information to gNB. Therefore, enhanced beam reporting </w:t>
      </w:r>
      <w:r>
        <w:rPr>
          <w:rFonts w:hint="eastAsia" w:eastAsia="Times New Roman"/>
          <w:sz w:val="20"/>
          <w:szCs w:val="20"/>
        </w:rPr>
        <w:t>mechanisms</w:t>
      </w:r>
      <w:r>
        <w:rPr>
          <w:rFonts w:eastAsia="Times New Roman"/>
          <w:sz w:val="20"/>
          <w:szCs w:val="20"/>
        </w:rPr>
        <w:t xml:space="preserve"> need to be studied, such as further screening, compression, and reporting of </w:t>
      </w:r>
      <w:r>
        <w:rPr>
          <w:rFonts w:hint="eastAsia" w:eastAsia="Times New Roman"/>
          <w:sz w:val="20"/>
          <w:szCs w:val="20"/>
        </w:rPr>
        <w:t xml:space="preserve">the </w:t>
      </w:r>
      <w:r>
        <w:rPr>
          <w:rFonts w:eastAsia="Times New Roman"/>
          <w:sz w:val="20"/>
          <w:szCs w:val="20"/>
        </w:rPr>
        <w:t xml:space="preserve">beam measurement results, so as to balance the beam prediction performance and beam reporting overhead. Meanwhile, for L1-RSRP reporting in Rel-17, the maximum RSRP and the differential RSRP are respectively quantized into 7-bit and 4-bit payloads. This quantization method leads to errors in beam reporting. For AI-based beam prediction, the impact of quantization errors on </w:t>
      </w:r>
      <w:r>
        <w:rPr>
          <w:rFonts w:hint="eastAsia" w:eastAsia="Times New Roman"/>
          <w:sz w:val="20"/>
          <w:szCs w:val="20"/>
        </w:rPr>
        <w:t xml:space="preserve">beam </w:t>
      </w:r>
      <w:r>
        <w:rPr>
          <w:rFonts w:eastAsia="Times New Roman"/>
          <w:sz w:val="20"/>
          <w:szCs w:val="20"/>
        </w:rPr>
        <w:t>prediction accuracy and how to improve the beam reporting accuracy also need further evaluation.</w:t>
      </w:r>
    </w:p>
    <w:p>
      <w:p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UE-side beam prediction AI/ML models: </w:t>
      </w:r>
      <w:r>
        <w:rPr>
          <w:rFonts w:hint="eastAsia" w:eastAsia="Times New Roman"/>
          <w:sz w:val="20"/>
          <w:szCs w:val="20"/>
        </w:rPr>
        <w:t xml:space="preserve">The deployed AI model on the UE side can extract the spatial correlation of the channel through deep learning-based super-resolution technology, and infers all beam quality based on measurement results on partial </w:t>
      </w:r>
      <w:r>
        <w:rPr>
          <w:rFonts w:hint="eastAsia"/>
          <w:sz w:val="20"/>
          <w:szCs w:val="20"/>
        </w:rPr>
        <w:t xml:space="preserve">narrow </w:t>
      </w:r>
      <w:r>
        <w:rPr>
          <w:rFonts w:hint="eastAsia" w:eastAsia="Times New Roman"/>
          <w:sz w:val="20"/>
          <w:szCs w:val="20"/>
        </w:rPr>
        <w:t>beams or wide beams. However, the deployed AI model may be completely transparent to the gNB, which is trained by the UE itself or downloaded directly from a third party. In this case, signaling methods need to be investigated to enable recommendation, configuration, and indication of the beam set for measurement. Consider that the beam set for measurement and the beam set used for prediction may be different. Therefore, a mapping relationship between the two sets needs to be established to achieve mutual indication. For example, the UE may report a virtual RS index that implicitly indicates the optimal beam inferred by the deployed AI model at the UE side.</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8</w:t>
      </w:r>
      <w:r>
        <w:rPr>
          <w:rFonts w:hint="eastAsia" w:eastAsia="Times New Roman"/>
          <w:b/>
          <w:bCs/>
          <w:i/>
          <w:iCs/>
          <w:sz w:val="20"/>
          <w:szCs w:val="20"/>
        </w:rPr>
        <w:t>:</w:t>
      </w:r>
      <w:r>
        <w:rPr>
          <w:rFonts w:hint="eastAsia" w:eastAsia="Times New Roman"/>
          <w:i/>
          <w:iCs/>
          <w:sz w:val="20"/>
          <w:szCs w:val="20"/>
        </w:rPr>
        <w:t xml:space="preserve"> </w:t>
      </w:r>
      <w:r>
        <w:rPr>
          <w:rFonts w:eastAsia="Times New Roman"/>
          <w:i/>
          <w:iCs/>
          <w:sz w:val="20"/>
          <w:szCs w:val="20"/>
        </w:rPr>
        <w:t>For NW-side beam prediction AI/ML models, enhanced beam reporting mechanisms such as further screening, compression, and reporting of the beam measurement results need to be studied so as to balance the beam prediction performance and beam reporting overhead.</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9</w:t>
      </w:r>
      <w:r>
        <w:rPr>
          <w:rFonts w:hint="eastAsia" w:eastAsia="Times New Roman"/>
          <w:b/>
          <w:bCs/>
          <w:i/>
          <w:iCs/>
          <w:sz w:val="20"/>
          <w:szCs w:val="20"/>
        </w:rPr>
        <w:t xml:space="preserve">: </w:t>
      </w:r>
      <w:r>
        <w:rPr>
          <w:rFonts w:eastAsia="Times New Roman"/>
          <w:i/>
          <w:iCs/>
          <w:sz w:val="20"/>
          <w:szCs w:val="20"/>
        </w:rPr>
        <w:t>For UE-side beam prediction AI/ML models, signaling methods need to be investigated to enable recommendation, configuration, and indication of the beam set for measurement.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Flexible resource configuration</w:t>
      </w:r>
      <w:r>
        <w:rPr>
          <w:rFonts w:eastAsia="Times New Roman"/>
          <w:b/>
          <w:bCs/>
          <w:sz w:val="20"/>
          <w:szCs w:val="20"/>
          <w:u w:val="single"/>
          <w:lang w:val="en-GB"/>
        </w:rPr>
        <w:t xml:space="preserve"> and beam indication</w:t>
      </w:r>
    </w:p>
    <w:p>
      <w:pPr>
        <w:snapToGrid w:val="0"/>
        <w:spacing w:before="72" w:beforeLines="30" w:after="72" w:afterLines="30" w:line="288" w:lineRule="auto"/>
        <w:jc w:val="both"/>
        <w:rPr>
          <w:rFonts w:eastAsia="Times New Roman"/>
          <w:sz w:val="20"/>
          <w:szCs w:val="20"/>
        </w:rPr>
      </w:pPr>
      <w:r>
        <w:rPr>
          <w:rFonts w:eastAsia="Times New Roman"/>
          <w:sz w:val="20"/>
          <w:szCs w:val="20"/>
        </w:rPr>
        <w:t>In traditional beam management methods, the gNB would sweep all beams at the codebook by sending periodic RS resource sets. In AI/ML based spatial domain and temporal beam prediction, the gNB actually only needs to sweep a small range of beams according to the Top-K beams inferred by AI. Therefore, existing resource configuration methods can be enhanced by more flexibly triggering or activating arbitrary resources in a certain resource set.</w:t>
      </w:r>
      <w:r>
        <w:rPr>
          <w:rFonts w:hint="eastAsia" w:eastAsia="Times New Roman"/>
          <w:sz w:val="20"/>
          <w:szCs w:val="20"/>
        </w:rPr>
        <w:t xml:space="preserve"> E</w:t>
      </w:r>
      <w:r>
        <w:rPr>
          <w:rFonts w:eastAsia="Times New Roman"/>
          <w:sz w:val="20"/>
          <w:szCs w:val="20"/>
        </w:rPr>
        <w:t>ach resource or resource set can be associated with a time stamp that depicts the effective time of corresponding parameters</w:t>
      </w:r>
      <w:r>
        <w:rPr>
          <w:rFonts w:hint="eastAsia" w:eastAsia="Times New Roman"/>
          <w:sz w:val="20"/>
          <w:szCs w:val="20"/>
        </w:rPr>
        <w:t xml:space="preserve">. Furthermore, considering that the optimal beam at multiple future time instances can be predicted in advance with the AL/ML based temporal beam prediction method, more flexible beam indication and subsequent beam switching methods can be studied. </w:t>
      </w:r>
      <w:r>
        <w:rPr>
          <w:rFonts w:eastAsia="Times New Roman"/>
          <w:sz w:val="20"/>
          <w:szCs w:val="20"/>
        </w:rPr>
        <w:t xml:space="preserve">For instance, a list of </w:t>
      </w:r>
      <w:r>
        <w:rPr>
          <w:rFonts w:hint="eastAsia"/>
          <w:sz w:val="20"/>
          <w:szCs w:val="20"/>
        </w:rPr>
        <w:t xml:space="preserve">TCI </w:t>
      </w:r>
      <w:r>
        <w:rPr>
          <w:rFonts w:eastAsia="Times New Roman"/>
          <w:sz w:val="20"/>
          <w:szCs w:val="20"/>
        </w:rPr>
        <w:t>states</w:t>
      </w:r>
      <w:r>
        <w:rPr>
          <w:rFonts w:hint="eastAsia"/>
          <w:sz w:val="20"/>
          <w:szCs w:val="20"/>
        </w:rPr>
        <w:t xml:space="preserve"> and </w:t>
      </w:r>
      <w:r>
        <w:rPr>
          <w:rFonts w:eastAsia="Times New Roman"/>
          <w:sz w:val="20"/>
          <w:szCs w:val="20"/>
        </w:rPr>
        <w:t xml:space="preserve">corresponding time </w:t>
      </w:r>
      <w:r>
        <w:rPr>
          <w:rFonts w:hint="eastAsia" w:eastAsia="Times New Roman"/>
          <w:sz w:val="20"/>
          <w:szCs w:val="20"/>
        </w:rPr>
        <w:t>stamps can be indicated by the same signaling to be applied in future time instances.</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1</w:t>
      </w:r>
      <w:r>
        <w:rPr>
          <w:rFonts w:hint="eastAsia"/>
          <w:b/>
          <w:bCs/>
          <w:i/>
          <w:iCs/>
          <w:sz w:val="20"/>
          <w:szCs w:val="20"/>
          <w:lang w:val="en-US" w:eastAsia="zh-CN"/>
        </w:rPr>
        <w:t>0</w:t>
      </w:r>
      <w:r>
        <w:rPr>
          <w:rFonts w:hint="eastAsia" w:eastAsia="Times New Roman"/>
          <w:b/>
          <w:bCs/>
          <w:i/>
          <w:iCs/>
          <w:sz w:val="20"/>
          <w:szCs w:val="20"/>
        </w:rPr>
        <w:t xml:space="preserve">: </w:t>
      </w:r>
      <w:r>
        <w:rPr>
          <w:rFonts w:hint="eastAsia" w:eastAsia="Times New Roman"/>
          <w:i/>
          <w:iCs/>
          <w:sz w:val="20"/>
          <w:szCs w:val="20"/>
        </w:rPr>
        <w:t>Study enhanced r</w:t>
      </w:r>
      <w:r>
        <w:rPr>
          <w:rFonts w:eastAsia="Times New Roman"/>
          <w:i/>
          <w:iCs/>
          <w:sz w:val="20"/>
          <w:szCs w:val="20"/>
        </w:rPr>
        <w:t>esource configuration</w:t>
      </w:r>
      <w:r>
        <w:rPr>
          <w:rFonts w:hint="eastAsia" w:eastAsia="Times New Roman"/>
          <w:i/>
          <w:iCs/>
          <w:sz w:val="20"/>
          <w:szCs w:val="20"/>
        </w:rPr>
        <w:t xml:space="preserve"> and beam indication</w:t>
      </w:r>
      <w:r>
        <w:rPr>
          <w:rFonts w:eastAsia="Times New Roman"/>
          <w:i/>
          <w:iCs/>
          <w:sz w:val="20"/>
          <w:szCs w:val="20"/>
        </w:rPr>
        <w:t xml:space="preserve"> if</w:t>
      </w:r>
      <w:r>
        <w:rPr>
          <w:rFonts w:hint="eastAsia" w:eastAsia="Times New Roman"/>
          <w:i/>
          <w:iCs/>
          <w:sz w:val="20"/>
          <w:szCs w:val="20"/>
        </w:rPr>
        <w:t xml:space="preserve"> </w:t>
      </w:r>
      <w:r>
        <w:rPr>
          <w:rFonts w:eastAsia="Times New Roman"/>
          <w:i/>
          <w:iCs/>
          <w:sz w:val="20"/>
          <w:szCs w:val="20"/>
        </w:rPr>
        <w:t xml:space="preserve">more flexible triggering or activating </w:t>
      </w:r>
      <w:r>
        <w:rPr>
          <w:rFonts w:hint="eastAsia" w:eastAsia="Times New Roman"/>
          <w:i/>
          <w:iCs/>
          <w:sz w:val="20"/>
          <w:szCs w:val="20"/>
        </w:rPr>
        <w:t xml:space="preserve">approaches </w:t>
      </w:r>
      <w:r>
        <w:rPr>
          <w:rFonts w:hint="eastAsia"/>
          <w:i/>
          <w:iCs/>
          <w:sz w:val="20"/>
          <w:szCs w:val="20"/>
        </w:rPr>
        <w:t xml:space="preserve">are </w:t>
      </w:r>
      <w:r>
        <w:rPr>
          <w:rFonts w:hint="eastAsia" w:eastAsia="Times New Roman"/>
          <w:i/>
          <w:iCs/>
          <w:sz w:val="20"/>
          <w:szCs w:val="20"/>
        </w:rPr>
        <w:t>utilized</w:t>
      </w:r>
      <w:r>
        <w:rPr>
          <w:rFonts w:eastAsia="Times New Roman"/>
          <w:i/>
          <w:iCs/>
          <w:sz w:val="20"/>
          <w:szCs w:val="20"/>
        </w:rPr>
        <w: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Assistance information exchange</w:t>
      </w:r>
    </w:p>
    <w:p>
      <w:pPr>
        <w:snapToGrid w:val="0"/>
        <w:spacing w:before="72" w:beforeLines="30" w:after="72" w:afterLines="30" w:line="288" w:lineRule="auto"/>
        <w:jc w:val="both"/>
        <w:rPr>
          <w:rFonts w:eastAsia="Times New Roman"/>
          <w:sz w:val="20"/>
          <w:szCs w:val="20"/>
        </w:rPr>
      </w:pPr>
      <w:r>
        <w:rPr>
          <w:rFonts w:eastAsia="Times New Roman"/>
          <w:sz w:val="20"/>
          <w:szCs w:val="20"/>
        </w:rPr>
        <w:t>In the spatial domain beam prediction and temporal beam prediction, assistance information such as beam direction or positioning-related measurement are used as candidates for AI model input. Considering that the beam implementation information in the existing protocol is completely transparent between gNB and UE. Therefore, enhanced resource configuration and reporting mechanisms need to be investigated to facilitate the exchange of assistance information, which can be either implicit or explicit. More specifically, if the AI inference is performed on the gNB side, the UE may need to feed back receive beam-related information, which may include beam ID, beam direction, beam pattern, and so on. Similarly, if the AI  inference is performed on the UE side, the gNB may need to indicate</w:t>
      </w:r>
      <w:r>
        <w:rPr>
          <w:rFonts w:hint="eastAsia"/>
          <w:sz w:val="20"/>
          <w:szCs w:val="20"/>
        </w:rPr>
        <w:t xml:space="preserve"> </w:t>
      </w:r>
      <w:r>
        <w:rPr>
          <w:rFonts w:eastAsia="Times New Roman"/>
          <w:sz w:val="20"/>
          <w:szCs w:val="20"/>
        </w:rPr>
        <w:t xml:space="preserve">beam-related information </w:t>
      </w:r>
      <w:r>
        <w:rPr>
          <w:rFonts w:hint="eastAsia"/>
          <w:sz w:val="20"/>
          <w:szCs w:val="20"/>
        </w:rPr>
        <w:t xml:space="preserve">in transmission side </w:t>
      </w:r>
      <w:r>
        <w:rPr>
          <w:rFonts w:eastAsia="Times New Roman"/>
          <w:sz w:val="20"/>
          <w:szCs w:val="20"/>
        </w:rPr>
        <w:t>to the UE. Furthermore, the exchanged assistance information may include indication information related to model activation and switching, depending on which side the AI model is deployed on.</w:t>
      </w:r>
    </w:p>
    <w:p>
      <w:pPr>
        <w:snapToGrid w:val="0"/>
        <w:spacing w:before="72" w:beforeLines="30" w:after="72" w:afterLines="30" w:line="288" w:lineRule="auto"/>
        <w:jc w:val="both"/>
        <w:rPr>
          <w:i/>
          <w:iCs/>
          <w:sz w:val="20"/>
          <w:szCs w:val="20"/>
        </w:rPr>
      </w:pPr>
      <w:r>
        <w:rPr>
          <w:rFonts w:hint="eastAsia" w:eastAsia="Times New Roman"/>
          <w:b/>
          <w:bCs/>
          <w:i/>
          <w:iCs/>
          <w:sz w:val="20"/>
          <w:szCs w:val="20"/>
        </w:rPr>
        <w:t>Proposal 1</w:t>
      </w:r>
      <w:r>
        <w:rPr>
          <w:rFonts w:hint="eastAsia"/>
          <w:b/>
          <w:bCs/>
          <w:i/>
          <w:iCs/>
          <w:sz w:val="20"/>
          <w:szCs w:val="20"/>
          <w:lang w:val="en-US" w:eastAsia="zh-CN"/>
        </w:rPr>
        <w:t>1</w:t>
      </w:r>
      <w:r>
        <w:rPr>
          <w:rFonts w:hint="eastAsia" w:eastAsia="Times New Roman"/>
          <w:b/>
          <w:bCs/>
          <w:i/>
          <w:iCs/>
          <w:sz w:val="20"/>
          <w:szCs w:val="20"/>
        </w:rPr>
        <w:t>:</w:t>
      </w:r>
      <w:r>
        <w:rPr>
          <w:rFonts w:hint="eastAsia" w:eastAsia="Times New Roman"/>
          <w:i/>
          <w:iCs/>
          <w:sz w:val="20"/>
          <w:szCs w:val="20"/>
        </w:rPr>
        <w:t xml:space="preserve"> E</w:t>
      </w:r>
      <w:r>
        <w:rPr>
          <w:rFonts w:eastAsia="Times New Roman"/>
          <w:i/>
          <w:iCs/>
          <w:sz w:val="20"/>
          <w:szCs w:val="20"/>
        </w:rPr>
        <w:t>nhanced resource configuration and reporting mechanisms need to be investigated to facilitate the exchange of assistance information, which can be either implicit or explicit.</w:t>
      </w: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Conclusions</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In this contribution, we discuss the potential specification impacts and enhancements for AI/ML based beam management. We have the following observations and proposals.</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Observations: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r>
        <w:rPr>
          <w:rFonts w:hint="eastAsia" w:eastAsia="Times New Roman"/>
          <w:b/>
          <w:bCs/>
          <w:i/>
          <w:iCs/>
          <w:sz w:val="20"/>
          <w:szCs w:val="20"/>
        </w:rPr>
        <w:t xml:space="preserve">Observation 1: </w:t>
      </w:r>
      <w:r>
        <w:rPr>
          <w:rFonts w:hint="eastAsia" w:eastAsia="Times New Roman"/>
          <w:i/>
          <w:iCs/>
          <w:sz w:val="20"/>
          <w:szCs w:val="20"/>
        </w:rPr>
        <w:t xml:space="preserve">The number of beams for measurement (i.e., set B) and for prediction (i.e., set A) is related to the trade-off between inference performance and RS overhead for beam measurement.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 xml:space="preserve">Much of the assistance information mentioned in Alt.2 is proprietary information of the gNB or UE, which may be difficult to be obtained and shared with another vendor.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r>
        <w:rPr>
          <w:rFonts w:hint="eastAsia" w:eastAsia="Times New Roman"/>
          <w:b/>
          <w:bCs/>
          <w:i/>
          <w:iCs/>
          <w:sz w:val="20"/>
          <w:szCs w:val="20"/>
        </w:rPr>
        <w:t xml:space="preserve">Observation 3: </w:t>
      </w:r>
      <w:r>
        <w:rPr>
          <w:rFonts w:hint="eastAsia" w:eastAsia="Times New Roman"/>
          <w:i/>
          <w:iCs/>
          <w:sz w:val="20"/>
          <w:szCs w:val="20"/>
        </w:rPr>
        <w:t>Alt.1 can provide better standard compatibility and less additional standardization effort since only beam ID and the predicted RSRP are considered as the AI output.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r>
        <w:rPr>
          <w:rFonts w:hint="eastAsia" w:eastAsia="Times New Roman"/>
          <w:b/>
          <w:bCs/>
          <w:i/>
          <w:iCs/>
          <w:sz w:val="20"/>
          <w:szCs w:val="20"/>
        </w:rPr>
        <w:t xml:space="preserve">Observation 4: </w:t>
      </w:r>
      <w:r>
        <w:rPr>
          <w:rFonts w:hint="eastAsia" w:eastAsia="Times New Roman"/>
          <w:i/>
          <w:iCs/>
          <w:sz w:val="20"/>
          <w:szCs w:val="20"/>
        </w:rPr>
        <w:t>The specific construction of the beam set for measurement will have a great impact on the beam training overhead, model complexity and inference performance.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r>
        <w:rPr>
          <w:rFonts w:hint="eastAsia" w:eastAsia="Times New Roman"/>
          <w:b/>
          <w:bCs/>
          <w:i/>
          <w:iCs/>
          <w:sz w:val="20"/>
          <w:szCs w:val="20"/>
        </w:rPr>
        <w:t>Observation 5:</w:t>
      </w:r>
      <w:r>
        <w:rPr>
          <w:rFonts w:hint="eastAsia" w:eastAsia="Times New Roman"/>
          <w:i/>
          <w:iCs/>
          <w:sz w:val="20"/>
          <w:szCs w:val="20"/>
        </w:rPr>
        <w:t xml:space="preserve"> If the beam set for measurement and the beam set for prediction are different, the spatial domain beam prediction algorithm may be an essential precondition for the temporal beam prediction study.</w:t>
      </w:r>
    </w:p>
    <w:p>
      <w:pPr>
        <w:spacing w:before="72" w:beforeLines="30" w:after="72" w:afterLines="30" w:line="288" w:lineRule="auto"/>
        <w:jc w:val="both"/>
        <w:rPr>
          <w:rFonts w:eastAsia="Times New Roman"/>
          <w:i/>
          <w:iCs/>
          <w:sz w:val="20"/>
          <w:szCs w:val="20"/>
        </w:rPr>
      </w:pP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Proposals: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1: </w:t>
      </w:r>
      <w:r>
        <w:rPr>
          <w:rFonts w:hint="eastAsia"/>
          <w:b w:val="0"/>
          <w:bCs/>
          <w:i/>
          <w:iCs/>
          <w:sz w:val="20"/>
          <w:szCs w:val="20"/>
        </w:rPr>
        <w:t>Since the time unit of this study item is limited, we suggest to focus on the sub use cases BM-Case1 and BM-Case2 in the first phase, and whether to discuss other sub use cases depends on the progress of the first phase.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2: </w:t>
      </w:r>
      <w:r>
        <w:rPr>
          <w:rFonts w:hint="eastAsia"/>
          <w:b w:val="0"/>
          <w:bCs/>
          <w:i/>
          <w:iCs/>
          <w:sz w:val="20"/>
          <w:szCs w:val="20"/>
        </w:rPr>
        <w:t>The sub-sampling based method in Alt.1 can serve as a starting point for the study of spatial domain beam prediction.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3: </w:t>
      </w:r>
      <w:r>
        <w:rPr>
          <w:rFonts w:hint="eastAsia"/>
          <w:b w:val="0"/>
          <w:bCs/>
          <w:i/>
          <w:iCs/>
          <w:sz w:val="20"/>
          <w:szCs w:val="20"/>
        </w:rPr>
        <w:t>The association in reference signals between two sets with different beam widths need to be further studied.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4: </w:t>
      </w:r>
      <w:r>
        <w:rPr>
          <w:rFonts w:hint="eastAsia"/>
          <w:b w:val="0"/>
          <w:bCs/>
          <w:i/>
          <w:iCs/>
          <w:sz w:val="20"/>
          <w:szCs w:val="20"/>
        </w:rPr>
        <w:t>Focusing the discussion on Alt.1 and Alt.4 with only L1-RSRP measurement and the corresponding beam ID being taken into account for the AI input would be a good starting point.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5: </w:t>
      </w:r>
      <w:r>
        <w:rPr>
          <w:rFonts w:hint="eastAsia"/>
          <w:b w:val="0"/>
          <w:bCs/>
          <w:i/>
          <w:iCs/>
          <w:sz w:val="20"/>
          <w:szCs w:val="20"/>
        </w:rPr>
        <w:t>Focusing the discussion on Alt.1 and Alt.2 as the starting point. The corresponding relationship between the output beam direction or angle and the TCI state needs to be further studied if Alt.3 or Alt.4 is adopted as the AI output.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6: </w:t>
      </w:r>
      <w:r>
        <w:rPr>
          <w:rFonts w:hint="eastAsia"/>
          <w:b w:val="0"/>
          <w:bCs/>
          <w:i/>
          <w:iCs/>
          <w:sz w:val="20"/>
          <w:szCs w:val="20"/>
        </w:rPr>
        <w:t>Regarding the beam set construction, Alt.3 can be used as a benchmark, while Alt.1 and Alt.2 are deferred until the evaluation of the spatial domain beam prediction in BM-Case1 has achieved sufficient progress.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7: </w:t>
      </w:r>
      <w:r>
        <w:rPr>
          <w:rFonts w:hint="eastAsia"/>
          <w:b w:val="0"/>
          <w:bCs/>
          <w:i/>
          <w:iCs/>
          <w:sz w:val="20"/>
          <w:szCs w:val="20"/>
        </w:rPr>
        <w:t>For temporal domain beam prediction, focusing the AI input and output on measured RSRP and/or beam ID would be a good starting point, in which case the standardization workload and AI model complexity would be relatively low.</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8: </w:t>
      </w:r>
      <w:r>
        <w:rPr>
          <w:rFonts w:hint="eastAsia"/>
          <w:b w:val="0"/>
          <w:bCs/>
          <w:i/>
          <w:iCs/>
          <w:sz w:val="20"/>
          <w:szCs w:val="20"/>
        </w:rPr>
        <w:t>For NW-side beam prediction AI/ML models, enhanced beam reporting mechanisms such as further screening, compression, and reporting of the beam measurement results need to be studied so as to balance the beam prediction performance and beam reporting overhead.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9: </w:t>
      </w:r>
      <w:r>
        <w:rPr>
          <w:rFonts w:hint="eastAsia"/>
          <w:b w:val="0"/>
          <w:bCs/>
          <w:i/>
          <w:iCs/>
          <w:sz w:val="20"/>
          <w:szCs w:val="20"/>
        </w:rPr>
        <w:t>For UE-side beam prediction AI/ML models, signaling methods need to be investigated to enable recommendation, configuration, and indication of the beam set for measurement.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rFonts w:hint="eastAsia"/>
          <w:b w:val="0"/>
          <w:bCs/>
          <w:i/>
          <w:iCs/>
          <w:sz w:val="20"/>
          <w:szCs w:val="20"/>
        </w:rPr>
      </w:pPr>
      <w:r>
        <w:rPr>
          <w:rFonts w:hint="eastAsia"/>
          <w:b/>
          <w:bCs w:val="0"/>
          <w:i/>
          <w:iCs/>
          <w:sz w:val="20"/>
          <w:szCs w:val="20"/>
        </w:rPr>
        <w:t xml:space="preserve">Proposal 10: </w:t>
      </w:r>
      <w:r>
        <w:rPr>
          <w:rFonts w:hint="eastAsia"/>
          <w:b w:val="0"/>
          <w:bCs/>
          <w:i/>
          <w:iCs/>
          <w:sz w:val="20"/>
          <w:szCs w:val="20"/>
        </w:rPr>
        <w:t>Study enhanced resource configuration and beam indication if more flexible triggering or activating approaches are utilized.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outlineLvl w:val="0"/>
        <w:rPr>
          <w:b w:val="0"/>
          <w:bCs/>
          <w:i/>
          <w:iCs/>
          <w:sz w:val="20"/>
          <w:szCs w:val="20"/>
        </w:rPr>
      </w:pPr>
      <w:r>
        <w:rPr>
          <w:rFonts w:hint="eastAsia"/>
          <w:b/>
          <w:bCs w:val="0"/>
          <w:i/>
          <w:iCs/>
          <w:sz w:val="20"/>
          <w:szCs w:val="20"/>
        </w:rPr>
        <w:t xml:space="preserve">Proposal 11: </w:t>
      </w:r>
      <w:r>
        <w:rPr>
          <w:rFonts w:hint="eastAsia"/>
          <w:b w:val="0"/>
          <w:bCs/>
          <w:i/>
          <w:iCs/>
          <w:sz w:val="20"/>
          <w:szCs w:val="20"/>
        </w:rPr>
        <w:t>Enhanced resource configuration and reporting mechanisms need to be investigated to facilitate the exchange of assistance information, which can be either implicit or explicit.</w:t>
      </w:r>
    </w:p>
    <w:p>
      <w:pPr>
        <w:bidi w:val="0"/>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References</w:t>
      </w:r>
    </w:p>
    <w:p>
      <w:pPr>
        <w:pStyle w:val="73"/>
        <w:numPr>
          <w:ilvl w:val="0"/>
          <w:numId w:val="8"/>
        </w:numPr>
        <w:snapToGrid w:val="0"/>
        <w:spacing w:before="72" w:beforeLines="30" w:after="72" w:afterLines="30" w:line="288" w:lineRule="auto"/>
        <w:jc w:val="both"/>
        <w:rPr>
          <w:bCs/>
          <w:sz w:val="20"/>
          <w:szCs w:val="20"/>
        </w:rPr>
      </w:pPr>
      <w:r>
        <w:rPr>
          <w:rFonts w:hint="eastAsia"/>
          <w:bCs/>
          <w:sz w:val="20"/>
          <w:szCs w:val="20"/>
        </w:rPr>
        <w:t>R1-2205695, Session notes for 9.2 (Study on AI/ ML for NR air interface), Ad-hoc Chair (CMCC), 3GPP TSG RAN1#109-e, May 2022.</w:t>
      </w:r>
    </w:p>
    <w:p>
      <w:pPr>
        <w:pStyle w:val="73"/>
        <w:numPr>
          <w:ilvl w:val="0"/>
          <w:numId w:val="8"/>
        </w:numPr>
        <w:snapToGrid w:val="0"/>
        <w:spacing w:before="72" w:beforeLines="30" w:after="72" w:afterLines="30" w:line="288" w:lineRule="auto"/>
        <w:jc w:val="both"/>
        <w:rPr>
          <w:bCs/>
          <w:sz w:val="20"/>
          <w:szCs w:val="20"/>
        </w:rPr>
      </w:pPr>
      <w:r>
        <w:rPr>
          <w:rFonts w:hint="eastAsia"/>
          <w:bCs/>
          <w:sz w:val="20"/>
          <w:szCs w:val="20"/>
        </w:rPr>
        <w:t>RP-210620, Enhancements on predictable mobility for beam management, ZTE Corporation, 3GPP TSG RAN#91-e, March 2021.</w:t>
      </w:r>
    </w:p>
    <w:p>
      <w:pPr>
        <w:pStyle w:val="73"/>
        <w:numPr>
          <w:ilvl w:val="0"/>
          <w:numId w:val="8"/>
        </w:numPr>
        <w:snapToGrid w:val="0"/>
        <w:spacing w:before="72" w:beforeLines="30" w:after="72" w:afterLines="30" w:line="288" w:lineRule="auto"/>
        <w:jc w:val="both"/>
        <w:rPr>
          <w:bCs/>
          <w:sz w:val="20"/>
          <w:szCs w:val="20"/>
        </w:rPr>
      </w:pPr>
      <w:r>
        <w:rPr>
          <w:rFonts w:hint="eastAsia"/>
          <w:bCs/>
          <w:sz w:val="20"/>
          <w:szCs w:val="20"/>
        </w:rPr>
        <w:t>RWS-210481, Enhancements on predictable mobility for beam management, ZTE Corporation, 3GPP TSG RAN REL-18 workshop, June 2021.</w:t>
      </w:r>
    </w:p>
    <w:p>
      <w:pPr>
        <w:pStyle w:val="73"/>
        <w:numPr>
          <w:ilvl w:val="0"/>
          <w:numId w:val="8"/>
        </w:numPr>
        <w:snapToGrid w:val="0"/>
        <w:spacing w:before="72" w:beforeLines="30" w:after="72" w:afterLines="30" w:line="288" w:lineRule="auto"/>
        <w:jc w:val="both"/>
        <w:rPr>
          <w:bCs/>
          <w:sz w:val="20"/>
          <w:szCs w:val="20"/>
        </w:rPr>
      </w:pPr>
      <w:r>
        <w:rPr>
          <w:rFonts w:hint="eastAsia"/>
          <w:bCs/>
          <w:sz w:val="20"/>
          <w:szCs w:val="20"/>
        </w:rPr>
        <w:t>R1-2206070, Evaluation on AI for beam management, ZTE Corporation, 3GPP TSG RAN1#110, August 2022.</w:t>
      </w:r>
    </w:p>
    <w:p>
      <w:pPr>
        <w:pStyle w:val="73"/>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956D8D7"/>
    <w:multiLevelType w:val="singleLevel"/>
    <w:tmpl w:val="F956D8D7"/>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9E95597"/>
    <w:multiLevelType w:val="multilevel"/>
    <w:tmpl w:val="69E95597"/>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Symbol" w:hAnsi="Symbol" w:eastAsia="MS Mincho" w:cs="Times New Roman"/>
      </w:rPr>
    </w:lvl>
    <w:lvl w:ilvl="2" w:tentative="0">
      <w:start w:val="1"/>
      <w:numFmt w:val="bullet"/>
      <w:lvlText w:val=""/>
      <w:lvlJc w:val="left"/>
      <w:pPr>
        <w:ind w:left="1260" w:hanging="420"/>
      </w:pPr>
      <w:rPr>
        <w:rFonts w:hint="default" w:ascii="Symbol" w:hAnsi="Symbol" w:eastAsia="MS Mincho"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7"/>
  </w:num>
  <w:num w:numId="4">
    <w:abstractNumId w:val="3"/>
  </w:num>
  <w:num w:numId="5">
    <w:abstractNumId w:val="4"/>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4C"/>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BD698B"/>
    <w:rsid w:val="08CE61CB"/>
    <w:rsid w:val="08D2064E"/>
    <w:rsid w:val="08F44BC5"/>
    <w:rsid w:val="08FA203B"/>
    <w:rsid w:val="091A5D92"/>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8C26F8"/>
    <w:rsid w:val="0CFB1DB9"/>
    <w:rsid w:val="0D220294"/>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37A87"/>
    <w:rsid w:val="16D50CFC"/>
    <w:rsid w:val="16E33AB3"/>
    <w:rsid w:val="16EB76EF"/>
    <w:rsid w:val="171B0546"/>
    <w:rsid w:val="17304A49"/>
    <w:rsid w:val="173353C2"/>
    <w:rsid w:val="17680599"/>
    <w:rsid w:val="17874ED3"/>
    <w:rsid w:val="17886A2C"/>
    <w:rsid w:val="178F26E7"/>
    <w:rsid w:val="17966843"/>
    <w:rsid w:val="17A9660F"/>
    <w:rsid w:val="17BC0CF9"/>
    <w:rsid w:val="17D80F4C"/>
    <w:rsid w:val="17E14521"/>
    <w:rsid w:val="18002CEE"/>
    <w:rsid w:val="18117661"/>
    <w:rsid w:val="18523ADE"/>
    <w:rsid w:val="18526E2C"/>
    <w:rsid w:val="1866694B"/>
    <w:rsid w:val="186C1ACE"/>
    <w:rsid w:val="188C6C7D"/>
    <w:rsid w:val="18960812"/>
    <w:rsid w:val="189C7EF6"/>
    <w:rsid w:val="18B04B4D"/>
    <w:rsid w:val="18CB264C"/>
    <w:rsid w:val="18E87E12"/>
    <w:rsid w:val="18F5052C"/>
    <w:rsid w:val="191D14D9"/>
    <w:rsid w:val="19693EEF"/>
    <w:rsid w:val="196B5F41"/>
    <w:rsid w:val="19CD605D"/>
    <w:rsid w:val="19D1732F"/>
    <w:rsid w:val="1A177449"/>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B701AA"/>
    <w:rsid w:val="1CCA0F66"/>
    <w:rsid w:val="1CDE446D"/>
    <w:rsid w:val="1CE20210"/>
    <w:rsid w:val="1D3074C2"/>
    <w:rsid w:val="1D464FEE"/>
    <w:rsid w:val="1D644902"/>
    <w:rsid w:val="1D6538BE"/>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F3292"/>
    <w:rsid w:val="2229623B"/>
    <w:rsid w:val="22477192"/>
    <w:rsid w:val="224C2951"/>
    <w:rsid w:val="225C6779"/>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862FAB"/>
    <w:rsid w:val="278F67DD"/>
    <w:rsid w:val="27903F65"/>
    <w:rsid w:val="27A0148D"/>
    <w:rsid w:val="27B778B7"/>
    <w:rsid w:val="27CE4805"/>
    <w:rsid w:val="27DC01C9"/>
    <w:rsid w:val="27EA6D62"/>
    <w:rsid w:val="28300784"/>
    <w:rsid w:val="28630E79"/>
    <w:rsid w:val="289E6725"/>
    <w:rsid w:val="29057EC1"/>
    <w:rsid w:val="290B0C78"/>
    <w:rsid w:val="290E28AF"/>
    <w:rsid w:val="292011C8"/>
    <w:rsid w:val="293757A5"/>
    <w:rsid w:val="293D0E03"/>
    <w:rsid w:val="293F5958"/>
    <w:rsid w:val="294A094A"/>
    <w:rsid w:val="29806F72"/>
    <w:rsid w:val="29C52E87"/>
    <w:rsid w:val="29D41D29"/>
    <w:rsid w:val="29D9317B"/>
    <w:rsid w:val="29F04EAF"/>
    <w:rsid w:val="29F116D0"/>
    <w:rsid w:val="2A0241CA"/>
    <w:rsid w:val="2A0777DB"/>
    <w:rsid w:val="2A1E7E82"/>
    <w:rsid w:val="2A7D5C08"/>
    <w:rsid w:val="2A81626E"/>
    <w:rsid w:val="2AA47786"/>
    <w:rsid w:val="2AAA19F3"/>
    <w:rsid w:val="2AAD65EE"/>
    <w:rsid w:val="2AC77380"/>
    <w:rsid w:val="2ADD6AFD"/>
    <w:rsid w:val="2ADE6550"/>
    <w:rsid w:val="2ADF3CF7"/>
    <w:rsid w:val="2AFE0D9C"/>
    <w:rsid w:val="2B2E0309"/>
    <w:rsid w:val="2B422946"/>
    <w:rsid w:val="2B5B34DC"/>
    <w:rsid w:val="2B76579E"/>
    <w:rsid w:val="2B831E93"/>
    <w:rsid w:val="2BA57D96"/>
    <w:rsid w:val="2BAE29A1"/>
    <w:rsid w:val="2BBE438D"/>
    <w:rsid w:val="2BE373EE"/>
    <w:rsid w:val="2C295EB9"/>
    <w:rsid w:val="2C35729B"/>
    <w:rsid w:val="2C372A26"/>
    <w:rsid w:val="2C4628DA"/>
    <w:rsid w:val="2C622710"/>
    <w:rsid w:val="2C7A1A31"/>
    <w:rsid w:val="2C7C7D79"/>
    <w:rsid w:val="2C9466E2"/>
    <w:rsid w:val="2CAF6B04"/>
    <w:rsid w:val="2CB0279E"/>
    <w:rsid w:val="2CD12AE5"/>
    <w:rsid w:val="2D3A323B"/>
    <w:rsid w:val="2D4B55E5"/>
    <w:rsid w:val="2D53589F"/>
    <w:rsid w:val="2D7646A7"/>
    <w:rsid w:val="2DB057E9"/>
    <w:rsid w:val="2DC23181"/>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B30C9D"/>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122D95"/>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4933F8"/>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B6572"/>
    <w:rsid w:val="3EED740D"/>
    <w:rsid w:val="3F2F6BD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CD671B"/>
    <w:rsid w:val="41DF5CBF"/>
    <w:rsid w:val="420D7FE6"/>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9D023F"/>
    <w:rsid w:val="44A427AA"/>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AE01B7"/>
    <w:rsid w:val="48CB69F5"/>
    <w:rsid w:val="48E06989"/>
    <w:rsid w:val="48E92C88"/>
    <w:rsid w:val="48EB1D85"/>
    <w:rsid w:val="4912133B"/>
    <w:rsid w:val="494C141C"/>
    <w:rsid w:val="4987544D"/>
    <w:rsid w:val="49AE3D92"/>
    <w:rsid w:val="49C55CAD"/>
    <w:rsid w:val="49CA225D"/>
    <w:rsid w:val="4A1203E3"/>
    <w:rsid w:val="4A3C31F7"/>
    <w:rsid w:val="4A775569"/>
    <w:rsid w:val="4A863FBD"/>
    <w:rsid w:val="4AA927DF"/>
    <w:rsid w:val="4ABD2CBE"/>
    <w:rsid w:val="4ACA49FA"/>
    <w:rsid w:val="4AE8469B"/>
    <w:rsid w:val="4AED30D2"/>
    <w:rsid w:val="4AF05435"/>
    <w:rsid w:val="4AFE1C1B"/>
    <w:rsid w:val="4B503DE9"/>
    <w:rsid w:val="4B592E57"/>
    <w:rsid w:val="4B731311"/>
    <w:rsid w:val="4B9A2375"/>
    <w:rsid w:val="4C036229"/>
    <w:rsid w:val="4C1F7A5B"/>
    <w:rsid w:val="4C9A5F96"/>
    <w:rsid w:val="4C9B7DE3"/>
    <w:rsid w:val="4C9C02EA"/>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8E5E96"/>
    <w:rsid w:val="4EF614BA"/>
    <w:rsid w:val="4EF62402"/>
    <w:rsid w:val="4EF85882"/>
    <w:rsid w:val="4F35630A"/>
    <w:rsid w:val="4F362E18"/>
    <w:rsid w:val="4F540B41"/>
    <w:rsid w:val="4F547EAA"/>
    <w:rsid w:val="4F832885"/>
    <w:rsid w:val="4F9039FE"/>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D15C5"/>
    <w:rsid w:val="52F63B4F"/>
    <w:rsid w:val="53082F2C"/>
    <w:rsid w:val="53131C59"/>
    <w:rsid w:val="53345BA9"/>
    <w:rsid w:val="53396085"/>
    <w:rsid w:val="53670639"/>
    <w:rsid w:val="53826F0F"/>
    <w:rsid w:val="53B84C8E"/>
    <w:rsid w:val="53BA78BF"/>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6E5E36"/>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0F34"/>
    <w:rsid w:val="69603C4B"/>
    <w:rsid w:val="69614422"/>
    <w:rsid w:val="69683F1C"/>
    <w:rsid w:val="69930E11"/>
    <w:rsid w:val="699C0EF8"/>
    <w:rsid w:val="69AB5DBB"/>
    <w:rsid w:val="69B840F1"/>
    <w:rsid w:val="69C70A94"/>
    <w:rsid w:val="69C91948"/>
    <w:rsid w:val="69FA7461"/>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A5C26"/>
    <w:rsid w:val="6BC644EC"/>
    <w:rsid w:val="6BE963BE"/>
    <w:rsid w:val="6C0F365E"/>
    <w:rsid w:val="6C2E2CA9"/>
    <w:rsid w:val="6C3E3641"/>
    <w:rsid w:val="6C740601"/>
    <w:rsid w:val="6CD31D46"/>
    <w:rsid w:val="6CD85C69"/>
    <w:rsid w:val="6CF02A87"/>
    <w:rsid w:val="6D464DCC"/>
    <w:rsid w:val="6D616216"/>
    <w:rsid w:val="6D932C97"/>
    <w:rsid w:val="6DA225C5"/>
    <w:rsid w:val="6DB630F7"/>
    <w:rsid w:val="6E04099A"/>
    <w:rsid w:val="6E042B6E"/>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5F4062"/>
    <w:rsid w:val="74963A01"/>
    <w:rsid w:val="74DA2ED7"/>
    <w:rsid w:val="74DF558B"/>
    <w:rsid w:val="74DF6C7A"/>
    <w:rsid w:val="74EE1D1B"/>
    <w:rsid w:val="74F826B3"/>
    <w:rsid w:val="74F9578E"/>
    <w:rsid w:val="75067D82"/>
    <w:rsid w:val="75152359"/>
    <w:rsid w:val="7523445E"/>
    <w:rsid w:val="752955C7"/>
    <w:rsid w:val="75473AB6"/>
    <w:rsid w:val="75583501"/>
    <w:rsid w:val="755A639D"/>
    <w:rsid w:val="7561234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9"/>
    <w:unhideWhenUsed/>
    <w:qFormat/>
    <w:uiPriority w:val="0"/>
    <w:rPr>
      <w:sz w:val="20"/>
      <w:szCs w:val="20"/>
    </w:rPr>
  </w:style>
  <w:style w:type="paragraph" w:styleId="15">
    <w:name w:val="Body Text"/>
    <w:basedOn w:val="1"/>
    <w:link w:val="50"/>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页眉 Char"/>
    <w:link w:val="18"/>
    <w:qFormat/>
    <w:uiPriority w:val="0"/>
    <w:rPr>
      <w:rFonts w:ascii="Arial" w:hAnsi="Arial" w:eastAsia="MS Mincho"/>
      <w:b/>
      <w:szCs w:val="24"/>
      <w:lang w:eastAsia="en-US"/>
    </w:rPr>
  </w:style>
  <w:style w:type="character" w:customStyle="1" w:styleId="36">
    <w:name w:val="批注主题 Char"/>
    <w:link w:val="22"/>
    <w:semiHidden/>
    <w:qFormat/>
    <w:uiPriority w:val="99"/>
    <w:rPr>
      <w:b/>
      <w:bCs/>
    </w:rPr>
  </w:style>
  <w:style w:type="character" w:customStyle="1" w:styleId="37">
    <w:name w:val="脚注文本 Char"/>
    <w:link w:val="20"/>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6"/>
    <w:qFormat/>
    <w:uiPriority w:val="0"/>
  </w:style>
  <w:style w:type="character" w:customStyle="1" w:styleId="44">
    <w:name w:val="题注 Char"/>
    <w:link w:val="12"/>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19"/>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批注文字 Char"/>
    <w:basedOn w:val="26"/>
    <w:link w:val="14"/>
    <w:qFormat/>
    <w:uiPriority w:val="0"/>
  </w:style>
  <w:style w:type="character" w:customStyle="1" w:styleId="50">
    <w:name w:val="正文文本 Char"/>
    <w:link w:val="15"/>
    <w:qFormat/>
    <w:uiPriority w:val="0"/>
    <w:rPr>
      <w:rFonts w:ascii="Times New Roman" w:hAnsi="Times New Roman"/>
      <w:color w:val="0000FF"/>
      <w:kern w:val="2"/>
      <w:sz w:val="21"/>
    </w:rPr>
  </w:style>
  <w:style w:type="character" w:customStyle="1" w:styleId="51">
    <w:name w:val="def"/>
    <w:basedOn w:val="26"/>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1"/>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8"/>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 w:type="paragraph" w:customStyle="1" w:styleId="114">
    <w:name w:val="修订2"/>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5EA99-7223-40D7-B383-AFC375B71E8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8</Pages>
  <Words>4148</Words>
  <Characters>23644</Characters>
  <Lines>197</Lines>
  <Paragraphs>55</Paragraphs>
  <TotalTime>21</TotalTime>
  <ScaleCrop>false</ScaleCrop>
  <LinksUpToDate>false</LinksUpToDate>
  <CharactersWithSpaces>27737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2022-08-11T08:41:00Z</dcterms:created>
  <dc:creator>ZTE</dc:creator>
  <cp:lastModifiedBy>ZTE</cp:lastModifiedBy>
  <dcterms:modified xsi:type="dcterms:W3CDTF">2022-08-12T15:33:29Z</dcterms:modified>
  <dc:title>3GPP TSG-RAN WG1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